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AC1319" w:rsidRPr="00AE203A" w:rsidTr="007B52F2">
        <w:tc>
          <w:tcPr>
            <w:tcW w:w="9640" w:type="dxa"/>
          </w:tcPr>
          <w:p w:rsidR="00AC1319" w:rsidRPr="00AE203A" w:rsidRDefault="00DF5F3B" w:rsidP="007B52F2">
            <w:pPr>
              <w:spacing w:before="120" w:line="240" w:lineRule="auto"/>
              <w:jc w:val="center"/>
              <w:rPr>
                <w:rFonts w:cs="Times New Roman"/>
                <w:szCs w:val="28"/>
              </w:rPr>
            </w:pPr>
            <w:r>
              <w:rPr>
                <w:rFonts w:cs="Times New Roman"/>
                <w:szCs w:val="28"/>
              </w:rPr>
              <w:t xml:space="preserve"> </w:t>
            </w:r>
            <w:r w:rsidR="00AC1319" w:rsidRPr="00AE203A">
              <w:rPr>
                <w:rFonts w:cs="Times New Roman"/>
                <w:szCs w:val="28"/>
              </w:rPr>
              <w:t>VIỆN KHOA HỌC ĐỊA CHẤT VÀ KHOÁNG SẢN</w:t>
            </w:r>
          </w:p>
          <w:p w:rsidR="00AC1319" w:rsidRPr="00AE203A" w:rsidRDefault="00AC1319" w:rsidP="007B52F2">
            <w:pPr>
              <w:spacing w:before="120" w:line="240" w:lineRule="auto"/>
              <w:jc w:val="center"/>
              <w:rPr>
                <w:rFonts w:cs="Times New Roman"/>
                <w:b/>
                <w:bCs/>
                <w:szCs w:val="28"/>
              </w:rPr>
            </w:pPr>
            <w:r w:rsidRPr="00AE203A">
              <w:rPr>
                <w:rFonts w:cs="Times New Roman"/>
                <w:noProof/>
                <w:szCs w:val="28"/>
              </w:rPr>
              <mc:AlternateContent>
                <mc:Choice Requires="wps">
                  <w:drawing>
                    <wp:anchor distT="4294967295" distB="4294967295" distL="114300" distR="114300" simplePos="0" relativeHeight="251659264" behindDoc="0" locked="0" layoutInCell="1" allowOverlap="1" wp14:anchorId="1EB95310" wp14:editId="46B45498">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4E1E0"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E203A">
              <w:rPr>
                <w:rFonts w:cs="Times New Roman"/>
                <w:b/>
                <w:bCs/>
                <w:szCs w:val="28"/>
              </w:rPr>
              <w:t>PHÒNG ĐỊA CHẤT KINH TẾ VÀ ĐỊA TIN HỌC</w:t>
            </w:r>
          </w:p>
          <w:p w:rsidR="00AC1319" w:rsidRPr="00AE203A" w:rsidRDefault="00AC1319" w:rsidP="007B52F2">
            <w:pPr>
              <w:spacing w:before="120" w:line="360" w:lineRule="auto"/>
              <w:jc w:val="center"/>
              <w:rPr>
                <w:rFonts w:cs="Times New Roman"/>
                <w:szCs w:val="28"/>
              </w:rPr>
            </w:pPr>
          </w:p>
        </w:tc>
        <w:tc>
          <w:tcPr>
            <w:tcW w:w="5528" w:type="dxa"/>
          </w:tcPr>
          <w:p w:rsidR="00AC1319" w:rsidRPr="00AE203A" w:rsidRDefault="00AC1319" w:rsidP="007B52F2">
            <w:pPr>
              <w:spacing w:before="120" w:line="360" w:lineRule="auto"/>
              <w:jc w:val="center"/>
              <w:rPr>
                <w:rFonts w:cs="Times New Roman"/>
                <w:i/>
                <w:szCs w:val="28"/>
              </w:rPr>
            </w:pPr>
          </w:p>
        </w:tc>
      </w:tr>
    </w:tbl>
    <w:p w:rsidR="00AC1319" w:rsidRPr="00AE203A" w:rsidRDefault="00AC1319" w:rsidP="00AC1319">
      <w:pPr>
        <w:spacing w:before="120" w:line="360" w:lineRule="auto"/>
        <w:jc w:val="center"/>
        <w:rPr>
          <w:rFonts w:cs="Times New Roman"/>
          <w:b/>
          <w:szCs w:val="28"/>
        </w:rPr>
      </w:pPr>
    </w:p>
    <w:p w:rsidR="00AC1319" w:rsidRPr="00AE203A" w:rsidRDefault="00AC1319" w:rsidP="00AC1319">
      <w:pPr>
        <w:spacing w:before="120" w:line="360" w:lineRule="auto"/>
        <w:jc w:val="center"/>
        <w:rPr>
          <w:rFonts w:cs="Times New Roman"/>
          <w:b/>
          <w:szCs w:val="28"/>
        </w:rPr>
      </w:pPr>
    </w:p>
    <w:p w:rsidR="00AC1319" w:rsidRPr="00AE203A" w:rsidRDefault="00AC1319" w:rsidP="00AC1319">
      <w:pPr>
        <w:spacing w:before="120" w:line="360" w:lineRule="auto"/>
        <w:jc w:val="center"/>
        <w:rPr>
          <w:rFonts w:cs="Times New Roman"/>
          <w:b/>
          <w:szCs w:val="28"/>
        </w:rPr>
      </w:pPr>
    </w:p>
    <w:p w:rsidR="00AC1319" w:rsidRPr="00AE203A" w:rsidRDefault="00AC1319" w:rsidP="00AC1319">
      <w:pPr>
        <w:spacing w:before="120" w:line="360" w:lineRule="auto"/>
        <w:jc w:val="center"/>
        <w:rPr>
          <w:rFonts w:cs="Times New Roman"/>
          <w:b/>
          <w:szCs w:val="28"/>
        </w:rPr>
      </w:pPr>
    </w:p>
    <w:p w:rsidR="00AC1319" w:rsidRPr="00AE203A" w:rsidRDefault="00AC1319" w:rsidP="00AC1319">
      <w:pPr>
        <w:spacing w:before="120" w:line="360" w:lineRule="auto"/>
        <w:jc w:val="center"/>
        <w:rPr>
          <w:rFonts w:cs="Times New Roman"/>
          <w:b/>
          <w:szCs w:val="28"/>
        </w:rPr>
      </w:pPr>
      <w:r w:rsidRPr="00AE203A">
        <w:rPr>
          <w:rFonts w:cs="Times New Roman"/>
          <w:b/>
          <w:szCs w:val="28"/>
        </w:rPr>
        <w:t>BÁO CÁO KẾT QUẢ THỰC HIỆN NHIỆM VỤ THƯỜNG XUYÊN</w:t>
      </w:r>
    </w:p>
    <w:p w:rsidR="00AC1319" w:rsidRPr="00AE203A" w:rsidRDefault="00AC1319" w:rsidP="00AC1319">
      <w:pPr>
        <w:tabs>
          <w:tab w:val="left" w:pos="3801"/>
          <w:tab w:val="center" w:pos="4658"/>
        </w:tabs>
        <w:spacing w:before="120" w:line="360" w:lineRule="auto"/>
        <w:jc w:val="center"/>
        <w:rPr>
          <w:rFonts w:cs="Times New Roman"/>
          <w:b/>
          <w:szCs w:val="28"/>
        </w:rPr>
      </w:pPr>
      <w:r w:rsidRPr="00AE203A">
        <w:rPr>
          <w:rFonts w:cs="Times New Roman"/>
          <w:b/>
          <w:szCs w:val="28"/>
        </w:rPr>
        <w:t xml:space="preserve">BẢN TIN THÁNG </w:t>
      </w:r>
      <w:r>
        <w:rPr>
          <w:rFonts w:cs="Times New Roman"/>
          <w:b/>
          <w:szCs w:val="28"/>
        </w:rPr>
        <w:t>08</w:t>
      </w:r>
      <w:r w:rsidR="00270383">
        <w:rPr>
          <w:rFonts w:cs="Times New Roman"/>
          <w:b/>
          <w:szCs w:val="28"/>
        </w:rPr>
        <w:t>/2024</w:t>
      </w:r>
    </w:p>
    <w:p w:rsidR="00AC1319" w:rsidRPr="00AE203A" w:rsidRDefault="00AC1319" w:rsidP="00AC1319">
      <w:pPr>
        <w:spacing w:before="120" w:line="360" w:lineRule="auto"/>
        <w:jc w:val="center"/>
        <w:rPr>
          <w:rFonts w:cs="Times New Roman"/>
          <w:b/>
          <w:szCs w:val="28"/>
        </w:rPr>
      </w:pPr>
    </w:p>
    <w:p w:rsidR="00AC1319" w:rsidRPr="00A57B09" w:rsidRDefault="00AC1319" w:rsidP="00AC1319">
      <w:pPr>
        <w:shd w:val="clear" w:color="auto" w:fill="FFFFFF"/>
        <w:spacing w:before="120" w:line="360" w:lineRule="auto"/>
        <w:jc w:val="center"/>
        <w:rPr>
          <w:rFonts w:cs="Times New Roman"/>
          <w:b/>
          <w:spacing w:val="3"/>
          <w:szCs w:val="28"/>
        </w:rPr>
      </w:pPr>
      <w:r w:rsidRPr="00A57B09">
        <w:rPr>
          <w:rFonts w:cs="Times New Roman"/>
          <w:b/>
          <w:szCs w:val="28"/>
        </w:rPr>
        <w:t xml:space="preserve">Nhiệm vụ: </w:t>
      </w:r>
      <w:r w:rsidRPr="00A57B09">
        <w:rPr>
          <w:rFonts w:cs="Times New Roman"/>
          <w:b/>
          <w:spacing w:val="3"/>
          <w:szCs w:val="28"/>
        </w:rPr>
        <w:t>Xây dựng Bản tin kinh tế trên trang thông tin của Viện</w:t>
      </w:r>
    </w:p>
    <w:p w:rsidR="00AC1319" w:rsidRPr="00A57B09" w:rsidRDefault="00AC1319" w:rsidP="00AC1319">
      <w:pPr>
        <w:jc w:val="center"/>
        <w:rPr>
          <w:rFonts w:cs="Times New Roman"/>
          <w:i/>
          <w:iCs/>
          <w:spacing w:val="3"/>
          <w:szCs w:val="28"/>
        </w:rPr>
      </w:pPr>
      <w:r w:rsidRPr="00A57B09">
        <w:rPr>
          <w:rFonts w:cs="Times New Roman"/>
          <w:i/>
          <w:iCs/>
          <w:spacing w:val="3"/>
          <w:szCs w:val="28"/>
        </w:rPr>
        <w:t>Tháng 0</w:t>
      </w:r>
      <w:r>
        <w:rPr>
          <w:rFonts w:cs="Times New Roman"/>
          <w:i/>
          <w:iCs/>
          <w:spacing w:val="3"/>
          <w:szCs w:val="28"/>
        </w:rPr>
        <w:t>8/</w:t>
      </w:r>
      <w:r w:rsidR="001D0C4B">
        <w:rPr>
          <w:rFonts w:cs="Times New Roman"/>
          <w:i/>
          <w:iCs/>
          <w:spacing w:val="3"/>
          <w:szCs w:val="28"/>
        </w:rPr>
        <w:t>2024</w:t>
      </w:r>
      <w:r w:rsidRPr="00A57B09">
        <w:rPr>
          <w:rFonts w:cs="Times New Roman"/>
          <w:i/>
          <w:iCs/>
          <w:spacing w:val="3"/>
          <w:szCs w:val="28"/>
        </w:rPr>
        <w:t>, nội dung: “</w:t>
      </w:r>
      <w:r>
        <w:rPr>
          <w:rFonts w:cs="Times New Roman"/>
          <w:i/>
          <w:iCs/>
          <w:spacing w:val="3"/>
          <w:szCs w:val="28"/>
        </w:rPr>
        <w:t>Nhu cầu và biến độ</w:t>
      </w:r>
      <w:r w:rsidR="001D0C4B">
        <w:rPr>
          <w:rFonts w:cs="Times New Roman"/>
          <w:i/>
          <w:iCs/>
          <w:spacing w:val="3"/>
          <w:szCs w:val="28"/>
        </w:rPr>
        <w:t>ng giá Coban năm 2024</w:t>
      </w:r>
      <w:r w:rsidRPr="00A57B09">
        <w:rPr>
          <w:rFonts w:cs="Times New Roman"/>
          <w:i/>
          <w:iCs/>
          <w:spacing w:val="3"/>
          <w:szCs w:val="28"/>
        </w:rPr>
        <w:t>”</w:t>
      </w:r>
    </w:p>
    <w:p w:rsidR="00AC1319" w:rsidRDefault="00AC1319">
      <w:pPr>
        <w:spacing w:after="160" w:line="259" w:lineRule="auto"/>
        <w:rPr>
          <w:rFonts w:cs="Times New Roman"/>
          <w:b/>
          <w:sz w:val="26"/>
          <w:szCs w:val="26"/>
        </w:rPr>
      </w:pPr>
      <w:r>
        <w:rPr>
          <w:rFonts w:cs="Times New Roman"/>
          <w:b/>
          <w:sz w:val="26"/>
          <w:szCs w:val="26"/>
        </w:rPr>
        <w:br w:type="page"/>
      </w:r>
    </w:p>
    <w:p w:rsidR="0082112B" w:rsidRDefault="0082112B" w:rsidP="0082112B">
      <w:pPr>
        <w:ind w:left="720" w:hanging="153"/>
        <w:rPr>
          <w:rFonts w:cs="Times New Roman"/>
          <w:b/>
          <w:sz w:val="26"/>
          <w:szCs w:val="26"/>
        </w:rPr>
      </w:pPr>
      <w:r w:rsidRPr="00FF6B85">
        <w:rPr>
          <w:rFonts w:cs="Times New Roman"/>
          <w:b/>
          <w:sz w:val="26"/>
          <w:szCs w:val="26"/>
        </w:rPr>
        <w:lastRenderedPageBreak/>
        <w:t>Triển vọng thị trường hợp kim Cobant 2024-2032</w:t>
      </w:r>
    </w:p>
    <w:p w:rsidR="0082112B" w:rsidRPr="0082112B" w:rsidRDefault="0082112B" w:rsidP="0082112B">
      <w:pPr>
        <w:ind w:firstLine="567"/>
        <w:jc w:val="both"/>
        <w:rPr>
          <w:rFonts w:cs="Times New Roman"/>
          <w:sz w:val="26"/>
          <w:szCs w:val="26"/>
        </w:rPr>
      </w:pPr>
      <w:r w:rsidRPr="0082112B">
        <w:rPr>
          <w:rFonts w:cs="Times New Roman"/>
          <w:sz w:val="26"/>
          <w:szCs w:val="26"/>
        </w:rPr>
        <w:t>Từ năm 2024 đến năm 2032, thị trường Hợp kim Cobalt thể hiện hướng tăng trưởng tích cực và nhất quán, cho thấy triển vọng thuận lợi cho ngành. Sự tăng trưởng này được thúc đẩy bởi một số yếu tố chính, bao gồm</w:t>
      </w:r>
    </w:p>
    <w:p w:rsidR="0082112B" w:rsidRPr="0082112B" w:rsidRDefault="0082112B" w:rsidP="0082112B">
      <w:pPr>
        <w:ind w:firstLine="567"/>
        <w:jc w:val="both"/>
        <w:rPr>
          <w:rFonts w:cs="Times New Roman"/>
          <w:sz w:val="26"/>
          <w:szCs w:val="26"/>
        </w:rPr>
      </w:pPr>
      <w:r w:rsidRPr="0082112B">
        <w:rPr>
          <w:rFonts w:cs="Times New Roman"/>
          <w:sz w:val="26"/>
          <w:szCs w:val="26"/>
        </w:rPr>
        <w:t xml:space="preserve">- Nhu cầu tiêu dùng ngày càng tăng, </w:t>
      </w:r>
    </w:p>
    <w:p w:rsidR="0082112B" w:rsidRPr="0082112B" w:rsidRDefault="0082112B" w:rsidP="0082112B">
      <w:pPr>
        <w:ind w:firstLine="567"/>
        <w:jc w:val="both"/>
        <w:rPr>
          <w:rFonts w:cs="Times New Roman"/>
          <w:sz w:val="26"/>
          <w:szCs w:val="26"/>
        </w:rPr>
      </w:pPr>
      <w:r w:rsidRPr="0082112B">
        <w:rPr>
          <w:rFonts w:cs="Times New Roman"/>
          <w:sz w:val="26"/>
          <w:szCs w:val="26"/>
        </w:rPr>
        <w:t xml:space="preserve">- Những tiến bộ trong công nghệ </w:t>
      </w:r>
    </w:p>
    <w:p w:rsidR="0082112B" w:rsidRPr="0082112B" w:rsidRDefault="0082112B" w:rsidP="0082112B">
      <w:pPr>
        <w:ind w:firstLine="567"/>
        <w:jc w:val="both"/>
        <w:rPr>
          <w:rFonts w:cs="Times New Roman"/>
          <w:sz w:val="26"/>
          <w:szCs w:val="26"/>
        </w:rPr>
      </w:pPr>
      <w:r w:rsidRPr="0082112B">
        <w:rPr>
          <w:rFonts w:cs="Times New Roman"/>
          <w:sz w:val="26"/>
          <w:szCs w:val="26"/>
        </w:rPr>
        <w:t>- Sự thay đổi sở thích của người tiêu dùng.</w:t>
      </w:r>
    </w:p>
    <w:p w:rsidR="0082112B" w:rsidRPr="0082112B" w:rsidRDefault="0082112B" w:rsidP="0082112B">
      <w:pPr>
        <w:ind w:firstLine="567"/>
        <w:jc w:val="both"/>
        <w:rPr>
          <w:rFonts w:cs="Times New Roman"/>
          <w:sz w:val="26"/>
          <w:szCs w:val="26"/>
        </w:rPr>
      </w:pPr>
      <w:r w:rsidRPr="0082112B">
        <w:rPr>
          <w:rFonts w:cs="Times New Roman"/>
          <w:sz w:val="26"/>
          <w:szCs w:val="26"/>
        </w:rPr>
        <w:t>Động lực quan trọng của thị trường Hợp kim Cobalt là nhận thức ngày càng tăng của người tiêu dùng về sức khỏe và thể chất. Ý thức nâng cao này đã dẫn đến sự gia tăng nhu cầu về các sản phẩm Hợp kim Cobalt được coi là những lựa chọn thay thế lành mạnh và tự nhiên hơn. Hơn nữa, những tiến bộ công nghệ trong ngành Hợp kim Cobalt đã dẫn đến sự xuất hiện của các phương pháp sản xuất hiệu quả và bền vững hơn, thúc đẩy hơn nữa sự tăng trưởng của thị trường.</w:t>
      </w:r>
    </w:p>
    <w:p w:rsidR="0082112B" w:rsidRPr="0082112B" w:rsidRDefault="00ED7638" w:rsidP="0082112B">
      <w:pPr>
        <w:ind w:firstLine="567"/>
        <w:jc w:val="both"/>
        <w:rPr>
          <w:rFonts w:cs="Times New Roman"/>
          <w:sz w:val="26"/>
          <w:szCs w:val="26"/>
        </w:rPr>
      </w:pPr>
      <w:r>
        <w:rPr>
          <w:rFonts w:cs="Times New Roman"/>
          <w:sz w:val="26"/>
          <w:szCs w:val="26"/>
        </w:rPr>
        <w:t>Bên cạnh đó</w:t>
      </w:r>
      <w:r w:rsidR="0082112B" w:rsidRPr="0082112B">
        <w:rPr>
          <w:rFonts w:cs="Times New Roman"/>
          <w:sz w:val="26"/>
          <w:szCs w:val="26"/>
        </w:rPr>
        <w:t>, nhữ</w:t>
      </w:r>
      <w:r>
        <w:rPr>
          <w:rFonts w:cs="Times New Roman"/>
          <w:sz w:val="26"/>
          <w:szCs w:val="26"/>
        </w:rPr>
        <w:t>ng nhà đâu tư</w:t>
      </w:r>
      <w:r w:rsidR="0082112B" w:rsidRPr="0082112B">
        <w:rPr>
          <w:rFonts w:cs="Times New Roman"/>
          <w:sz w:val="26"/>
          <w:szCs w:val="26"/>
        </w:rPr>
        <w:t xml:space="preserve"> chủ chốt trong ngành đang đầu tư đáng kể, điều này được dự đoán sẽ thúc đẩy sự đổi mới và thúc đẩy mở rộng thị trường. Những khoản đầu tư này chủ yếu tập trung vào phát triển sản phẩm mới và mở rộng mạng lưới phân phối, từ đó sẽ kích thích nhu cầu trong tương lai.</w:t>
      </w:r>
    </w:p>
    <w:p w:rsidR="0082112B" w:rsidRDefault="0082112B" w:rsidP="00ED7638">
      <w:pPr>
        <w:ind w:firstLine="567"/>
        <w:jc w:val="both"/>
        <w:rPr>
          <w:rFonts w:cs="Times New Roman"/>
          <w:sz w:val="26"/>
          <w:szCs w:val="26"/>
        </w:rPr>
      </w:pPr>
      <w:r w:rsidRPr="0082112B">
        <w:rPr>
          <w:rFonts w:cs="Times New Roman"/>
          <w:sz w:val="26"/>
          <w:szCs w:val="26"/>
        </w:rPr>
        <w:t>Tóm lại, triển vọng của thị trường Hợp kim Cobalt là lạc quan với mức tăng trưởng bền vững dự kiến ​​​​trong những năm tới. Nhu cầu tiêu dùng ngày càng tăng, những tiến bộ trong công nghệ và đầu tư từ các công ty chủ chốt trong ngành sẵn sàng thúc đẩy tăng trưởng và thúc đẩy đổi mới trên thị trường.</w:t>
      </w:r>
    </w:p>
    <w:p w:rsidR="002573A5" w:rsidRDefault="002573A5" w:rsidP="00DF5F3B">
      <w:pPr>
        <w:ind w:firstLine="567"/>
        <w:jc w:val="center"/>
        <w:rPr>
          <w:rFonts w:cs="Times New Roman"/>
          <w:sz w:val="26"/>
          <w:szCs w:val="26"/>
        </w:rPr>
      </w:pPr>
      <w:r>
        <w:rPr>
          <w:noProof/>
        </w:rPr>
        <w:drawing>
          <wp:inline distT="0" distB="0" distL="0" distR="0" wp14:anchorId="0A5F8095" wp14:editId="4ECDC937">
            <wp:extent cx="4581525" cy="2276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81525" cy="2276475"/>
                    </a:xfrm>
                    <a:prstGeom prst="rect">
                      <a:avLst/>
                    </a:prstGeom>
                  </pic:spPr>
                </pic:pic>
              </a:graphicData>
            </a:graphic>
          </wp:inline>
        </w:drawing>
      </w:r>
    </w:p>
    <w:p w:rsidR="00813481" w:rsidRPr="00813481" w:rsidRDefault="00813481" w:rsidP="00DF5F3B">
      <w:pPr>
        <w:ind w:firstLine="567"/>
        <w:jc w:val="center"/>
        <w:rPr>
          <w:rFonts w:cs="Times New Roman"/>
          <w:i/>
          <w:sz w:val="26"/>
          <w:szCs w:val="26"/>
        </w:rPr>
      </w:pPr>
      <w:r w:rsidRPr="00813481">
        <w:rPr>
          <w:rFonts w:cs="Times New Roman"/>
          <w:i/>
          <w:sz w:val="26"/>
          <w:szCs w:val="26"/>
        </w:rPr>
        <w:t>Hình</w:t>
      </w:r>
      <w:r w:rsidR="00DF5F3B">
        <w:rPr>
          <w:rFonts w:cs="Times New Roman"/>
          <w:i/>
          <w:sz w:val="26"/>
          <w:szCs w:val="26"/>
        </w:rPr>
        <w:t xml:space="preserve"> 1</w:t>
      </w:r>
      <w:r w:rsidRPr="00813481">
        <w:rPr>
          <w:rFonts w:cs="Times New Roman"/>
          <w:i/>
          <w:sz w:val="26"/>
          <w:szCs w:val="26"/>
        </w:rPr>
        <w:t>. Biểu đồ quy mô thị trường Conban giai đoạn từ năm 2022-2032</w:t>
      </w:r>
    </w:p>
    <w:p w:rsidR="000B21C1" w:rsidRPr="000B21C1" w:rsidRDefault="00CE74E5" w:rsidP="00F12118">
      <w:pPr>
        <w:ind w:firstLine="567"/>
        <w:jc w:val="both"/>
        <w:rPr>
          <w:rFonts w:cs="Times New Roman"/>
          <w:sz w:val="26"/>
          <w:szCs w:val="26"/>
        </w:rPr>
      </w:pPr>
      <w:r>
        <w:rPr>
          <w:rFonts w:cs="Times New Roman"/>
          <w:sz w:val="26"/>
          <w:szCs w:val="26"/>
        </w:rPr>
        <w:lastRenderedPageBreak/>
        <w:t>Q</w:t>
      </w:r>
      <w:r w:rsidR="000B21C1" w:rsidRPr="000B21C1">
        <w:rPr>
          <w:rFonts w:cs="Times New Roman"/>
          <w:sz w:val="26"/>
          <w:szCs w:val="26"/>
        </w:rPr>
        <w:t>uy mô thị trường hợp kim coban toàn cầu là 323,5 triệu đô la Mỹ vào năm 2022 và thị trường dự kiến ​​sẽ đạt 430,52 triệu đô la Mỹ vào năm 2032 vớ</w:t>
      </w:r>
      <w:r>
        <w:rPr>
          <w:rFonts w:cs="Times New Roman"/>
          <w:sz w:val="26"/>
          <w:szCs w:val="26"/>
        </w:rPr>
        <w:t xml:space="preserve">i CAGR (tỷ lệ tăng trưởng kép hàng năm) </w:t>
      </w:r>
      <w:r w:rsidR="000B21C1" w:rsidRPr="000B21C1">
        <w:rPr>
          <w:rFonts w:cs="Times New Roman"/>
          <w:sz w:val="26"/>
          <w:szCs w:val="26"/>
        </w:rPr>
        <w:t>2,9% trong giai đoạ</w:t>
      </w:r>
      <w:r>
        <w:rPr>
          <w:rFonts w:cs="Times New Roman"/>
          <w:sz w:val="26"/>
          <w:szCs w:val="26"/>
        </w:rPr>
        <w:t>n 2024-2032</w:t>
      </w:r>
      <w:r w:rsidR="000B21C1" w:rsidRPr="000B21C1">
        <w:rPr>
          <w:rFonts w:cs="Times New Roman"/>
          <w:sz w:val="26"/>
          <w:szCs w:val="26"/>
        </w:rPr>
        <w:t>.</w:t>
      </w:r>
    </w:p>
    <w:p w:rsidR="000E0B5A" w:rsidRDefault="000E0B5A" w:rsidP="00EE345F">
      <w:pPr>
        <w:ind w:firstLine="567"/>
        <w:jc w:val="both"/>
        <w:rPr>
          <w:rFonts w:cs="Times New Roman"/>
          <w:b/>
          <w:sz w:val="26"/>
          <w:szCs w:val="26"/>
        </w:rPr>
      </w:pPr>
      <w:r w:rsidRPr="000E0B5A">
        <w:rPr>
          <w:rFonts w:cs="Times New Roman"/>
          <w:b/>
          <w:sz w:val="26"/>
          <w:szCs w:val="26"/>
        </w:rPr>
        <w:t>10 quốc gia sản xuấ</w:t>
      </w:r>
      <w:r w:rsidR="00ED7638">
        <w:rPr>
          <w:rFonts w:cs="Times New Roman"/>
          <w:b/>
          <w:sz w:val="26"/>
          <w:szCs w:val="26"/>
        </w:rPr>
        <w:t>t Coban</w:t>
      </w:r>
      <w:r w:rsidRPr="000E0B5A">
        <w:rPr>
          <w:rFonts w:cs="Times New Roman"/>
          <w:b/>
          <w:sz w:val="26"/>
          <w:szCs w:val="26"/>
        </w:rPr>
        <w:t xml:space="preserve"> hàng đầu </w:t>
      </w:r>
      <w:r w:rsidR="00514723">
        <w:rPr>
          <w:rFonts w:cs="Times New Roman"/>
          <w:b/>
          <w:sz w:val="26"/>
          <w:szCs w:val="26"/>
        </w:rPr>
        <w:t xml:space="preserve"> thế giới </w:t>
      </w:r>
      <w:r w:rsidRPr="000E0B5A">
        <w:rPr>
          <w:rFonts w:cs="Times New Roman"/>
          <w:b/>
          <w:sz w:val="26"/>
          <w:szCs w:val="26"/>
        </w:rPr>
        <w:t>(Cập nhật năm 2024)</w:t>
      </w:r>
    </w:p>
    <w:tbl>
      <w:tblPr>
        <w:tblStyle w:val="TableGrid"/>
        <w:tblW w:w="0" w:type="auto"/>
        <w:jc w:val="center"/>
        <w:tblLook w:val="04A0" w:firstRow="1" w:lastRow="0" w:firstColumn="1" w:lastColumn="0" w:noHBand="0" w:noVBand="1"/>
      </w:tblPr>
      <w:tblGrid>
        <w:gridCol w:w="1101"/>
        <w:gridCol w:w="3519"/>
        <w:gridCol w:w="3852"/>
      </w:tblGrid>
      <w:tr w:rsidR="000E0B5A" w:rsidTr="00DF5F3B">
        <w:trPr>
          <w:trHeight w:val="544"/>
          <w:jc w:val="center"/>
        </w:trPr>
        <w:tc>
          <w:tcPr>
            <w:tcW w:w="1101" w:type="dxa"/>
          </w:tcPr>
          <w:p w:rsidR="000E0B5A" w:rsidRPr="00931540" w:rsidRDefault="000E0B5A" w:rsidP="00DF5F3B">
            <w:pPr>
              <w:jc w:val="center"/>
              <w:rPr>
                <w:rFonts w:cs="Times New Roman"/>
                <w:b/>
                <w:sz w:val="26"/>
                <w:szCs w:val="26"/>
              </w:rPr>
            </w:pPr>
            <w:r w:rsidRPr="00931540">
              <w:rPr>
                <w:rFonts w:cs="Times New Roman"/>
                <w:b/>
                <w:sz w:val="26"/>
                <w:szCs w:val="26"/>
              </w:rPr>
              <w:t>STT</w:t>
            </w:r>
          </w:p>
        </w:tc>
        <w:tc>
          <w:tcPr>
            <w:tcW w:w="3519" w:type="dxa"/>
          </w:tcPr>
          <w:p w:rsidR="000E0B5A" w:rsidRPr="00931540" w:rsidRDefault="000E0B5A" w:rsidP="00DF5F3B">
            <w:pPr>
              <w:jc w:val="center"/>
              <w:rPr>
                <w:rFonts w:cs="Times New Roman"/>
                <w:b/>
                <w:sz w:val="26"/>
                <w:szCs w:val="26"/>
                <w:lang w:val="en-US"/>
              </w:rPr>
            </w:pPr>
            <w:r w:rsidRPr="00931540">
              <w:rPr>
                <w:rFonts w:cs="Times New Roman"/>
                <w:b/>
                <w:sz w:val="26"/>
                <w:szCs w:val="26"/>
                <w:lang w:val="en-US"/>
              </w:rPr>
              <w:t>Quốc gia</w:t>
            </w:r>
          </w:p>
        </w:tc>
        <w:tc>
          <w:tcPr>
            <w:tcW w:w="3852" w:type="dxa"/>
          </w:tcPr>
          <w:p w:rsidR="000E0B5A" w:rsidRPr="00931540" w:rsidRDefault="000E0B5A" w:rsidP="00DF5F3B">
            <w:pPr>
              <w:jc w:val="center"/>
              <w:rPr>
                <w:rFonts w:cs="Times New Roman"/>
                <w:b/>
                <w:sz w:val="26"/>
                <w:szCs w:val="26"/>
                <w:lang w:val="en-US"/>
              </w:rPr>
            </w:pPr>
            <w:r w:rsidRPr="00931540">
              <w:rPr>
                <w:rFonts w:cs="Times New Roman"/>
                <w:b/>
                <w:sz w:val="26"/>
                <w:szCs w:val="26"/>
                <w:lang w:val="en-US"/>
              </w:rPr>
              <w:t>Sản lượng</w:t>
            </w:r>
            <w:r w:rsidR="00931540" w:rsidRPr="00931540">
              <w:rPr>
                <w:rFonts w:cs="Times New Roman"/>
                <w:b/>
                <w:sz w:val="26"/>
                <w:szCs w:val="26"/>
                <w:lang w:val="en-US"/>
              </w:rPr>
              <w:t xml:space="preserve"> (T</w:t>
            </w:r>
            <w:r w:rsidRPr="00931540">
              <w:rPr>
                <w:rFonts w:cs="Times New Roman"/>
                <w:b/>
                <w:sz w:val="26"/>
                <w:szCs w:val="26"/>
                <w:lang w:val="en-US"/>
              </w:rPr>
              <w:t>ấn)</w:t>
            </w:r>
          </w:p>
        </w:tc>
      </w:tr>
      <w:tr w:rsidR="000E0B5A" w:rsidTr="00DF5F3B">
        <w:trPr>
          <w:trHeight w:val="544"/>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1</w:t>
            </w:r>
          </w:p>
        </w:tc>
        <w:tc>
          <w:tcPr>
            <w:tcW w:w="3519"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Congo</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130.000</w:t>
            </w:r>
          </w:p>
        </w:tc>
      </w:tr>
      <w:tr w:rsidR="000E0B5A" w:rsidTr="00DF5F3B">
        <w:trPr>
          <w:trHeight w:val="544"/>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2</w:t>
            </w:r>
          </w:p>
        </w:tc>
        <w:tc>
          <w:tcPr>
            <w:tcW w:w="3519"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Indonesia</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10.000</w:t>
            </w:r>
          </w:p>
        </w:tc>
      </w:tr>
      <w:tr w:rsidR="000E0B5A" w:rsidTr="00DF5F3B">
        <w:trPr>
          <w:trHeight w:val="544"/>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3</w:t>
            </w:r>
          </w:p>
        </w:tc>
        <w:tc>
          <w:tcPr>
            <w:tcW w:w="3519"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Nga</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8.900</w:t>
            </w:r>
          </w:p>
        </w:tc>
      </w:tr>
      <w:tr w:rsidR="000E0B5A" w:rsidTr="00DF5F3B">
        <w:trPr>
          <w:trHeight w:val="544"/>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4</w:t>
            </w:r>
          </w:p>
        </w:tc>
        <w:tc>
          <w:tcPr>
            <w:tcW w:w="3519"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Úc</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5.900</w:t>
            </w:r>
          </w:p>
        </w:tc>
      </w:tr>
      <w:tr w:rsidR="000E0B5A" w:rsidTr="00DF5F3B">
        <w:trPr>
          <w:trHeight w:val="544"/>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5</w:t>
            </w:r>
          </w:p>
        </w:tc>
        <w:tc>
          <w:tcPr>
            <w:tcW w:w="3519"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Canada</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3.900</w:t>
            </w:r>
          </w:p>
        </w:tc>
      </w:tr>
      <w:tr w:rsidR="000E0B5A" w:rsidTr="00DF5F3B">
        <w:trPr>
          <w:trHeight w:val="544"/>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6</w:t>
            </w:r>
          </w:p>
        </w:tc>
        <w:tc>
          <w:tcPr>
            <w:tcW w:w="3519"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Philipin</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3.800</w:t>
            </w:r>
          </w:p>
        </w:tc>
      </w:tr>
      <w:tr w:rsidR="000E0B5A" w:rsidTr="00DF5F3B">
        <w:trPr>
          <w:trHeight w:val="544"/>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7</w:t>
            </w:r>
          </w:p>
        </w:tc>
        <w:tc>
          <w:tcPr>
            <w:tcW w:w="3519"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Cuba</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3.800</w:t>
            </w:r>
          </w:p>
        </w:tc>
      </w:tr>
      <w:tr w:rsidR="000E0B5A" w:rsidTr="00DF5F3B">
        <w:trPr>
          <w:trHeight w:val="544"/>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8</w:t>
            </w:r>
          </w:p>
        </w:tc>
        <w:tc>
          <w:tcPr>
            <w:tcW w:w="3519" w:type="dxa"/>
          </w:tcPr>
          <w:p w:rsidR="000E0B5A" w:rsidRPr="00931540" w:rsidRDefault="00931540" w:rsidP="00DF5F3B">
            <w:pPr>
              <w:pStyle w:val="Heading3"/>
              <w:shd w:val="clear" w:color="auto" w:fill="FFFFFF"/>
              <w:jc w:val="center"/>
              <w:outlineLvl w:val="2"/>
              <w:rPr>
                <w:rFonts w:eastAsiaTheme="minorHAnsi"/>
                <w:b w:val="0"/>
                <w:bCs w:val="0"/>
                <w:sz w:val="26"/>
                <w:szCs w:val="26"/>
                <w:lang w:val="en-US"/>
              </w:rPr>
            </w:pPr>
            <w:r w:rsidRPr="00931540">
              <w:rPr>
                <w:rFonts w:eastAsiaTheme="minorHAnsi"/>
                <w:b w:val="0"/>
                <w:bCs w:val="0"/>
                <w:sz w:val="26"/>
                <w:szCs w:val="26"/>
                <w:lang w:val="en-US"/>
              </w:rPr>
              <w:t>Papua New Guinea</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3000</w:t>
            </w:r>
          </w:p>
        </w:tc>
      </w:tr>
      <w:tr w:rsidR="000E0B5A" w:rsidTr="00DF5F3B">
        <w:trPr>
          <w:trHeight w:val="544"/>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9</w:t>
            </w:r>
          </w:p>
        </w:tc>
        <w:tc>
          <w:tcPr>
            <w:tcW w:w="3519"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Madagascar</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3.000</w:t>
            </w:r>
          </w:p>
        </w:tc>
      </w:tr>
      <w:tr w:rsidR="000E0B5A" w:rsidTr="00DF5F3B">
        <w:trPr>
          <w:trHeight w:val="58"/>
          <w:jc w:val="center"/>
        </w:trPr>
        <w:tc>
          <w:tcPr>
            <w:tcW w:w="1101" w:type="dxa"/>
          </w:tcPr>
          <w:p w:rsidR="000E0B5A" w:rsidRPr="00931540" w:rsidRDefault="000E0B5A" w:rsidP="00DF5F3B">
            <w:pPr>
              <w:jc w:val="center"/>
              <w:rPr>
                <w:rFonts w:cs="Times New Roman"/>
                <w:sz w:val="26"/>
                <w:szCs w:val="26"/>
              </w:rPr>
            </w:pPr>
            <w:r w:rsidRPr="00931540">
              <w:rPr>
                <w:rFonts w:cs="Times New Roman"/>
                <w:sz w:val="26"/>
                <w:szCs w:val="26"/>
              </w:rPr>
              <w:t>10</w:t>
            </w:r>
          </w:p>
        </w:tc>
        <w:tc>
          <w:tcPr>
            <w:tcW w:w="3519" w:type="dxa"/>
          </w:tcPr>
          <w:p w:rsidR="000E0B5A" w:rsidRPr="00931540" w:rsidRDefault="00931540" w:rsidP="00DF5F3B">
            <w:pPr>
              <w:shd w:val="clear" w:color="auto" w:fill="FFFFFF"/>
              <w:spacing w:before="100" w:beforeAutospacing="1" w:after="100" w:afterAutospacing="1" w:line="240" w:lineRule="auto"/>
              <w:jc w:val="center"/>
              <w:outlineLvl w:val="2"/>
              <w:rPr>
                <w:rFonts w:cs="Times New Roman"/>
                <w:sz w:val="26"/>
                <w:szCs w:val="26"/>
                <w:lang w:val="en-US"/>
              </w:rPr>
            </w:pPr>
            <w:r w:rsidRPr="00931540">
              <w:rPr>
                <w:rFonts w:cs="Times New Roman"/>
                <w:sz w:val="26"/>
                <w:szCs w:val="26"/>
                <w:lang w:val="en-US"/>
              </w:rPr>
              <w:t>Morocco</w:t>
            </w:r>
          </w:p>
        </w:tc>
        <w:tc>
          <w:tcPr>
            <w:tcW w:w="3852" w:type="dxa"/>
          </w:tcPr>
          <w:p w:rsidR="000E0B5A" w:rsidRPr="00931540" w:rsidRDefault="00931540" w:rsidP="00DF5F3B">
            <w:pPr>
              <w:jc w:val="center"/>
              <w:rPr>
                <w:rFonts w:cs="Times New Roman"/>
                <w:sz w:val="26"/>
                <w:szCs w:val="26"/>
                <w:lang w:val="en-US"/>
              </w:rPr>
            </w:pPr>
            <w:r w:rsidRPr="00931540">
              <w:rPr>
                <w:rFonts w:cs="Times New Roman"/>
                <w:sz w:val="26"/>
                <w:szCs w:val="26"/>
                <w:lang w:val="en-US"/>
              </w:rPr>
              <w:t>2.300</w:t>
            </w:r>
          </w:p>
        </w:tc>
      </w:tr>
    </w:tbl>
    <w:p w:rsidR="000E0B5A" w:rsidRDefault="000E0B5A" w:rsidP="00DF5F3B">
      <w:pPr>
        <w:ind w:firstLine="567"/>
        <w:jc w:val="center"/>
        <w:rPr>
          <w:rFonts w:cs="Times New Roman"/>
          <w:b/>
          <w:sz w:val="26"/>
          <w:szCs w:val="26"/>
        </w:rPr>
      </w:pPr>
    </w:p>
    <w:p w:rsidR="00EE345F" w:rsidRPr="00EE345F" w:rsidRDefault="00EE345F" w:rsidP="00EE345F">
      <w:pPr>
        <w:ind w:firstLine="567"/>
        <w:jc w:val="both"/>
        <w:rPr>
          <w:rFonts w:cs="Times New Roman"/>
          <w:b/>
          <w:sz w:val="26"/>
          <w:szCs w:val="26"/>
        </w:rPr>
      </w:pPr>
      <w:r w:rsidRPr="00EE345F">
        <w:rPr>
          <w:rFonts w:cs="Times New Roman"/>
          <w:b/>
          <w:sz w:val="26"/>
          <w:szCs w:val="26"/>
        </w:rPr>
        <w:t>Những yếu tố tác động đến thị trườ</w:t>
      </w:r>
      <w:r w:rsidR="009B2B67">
        <w:rPr>
          <w:rFonts w:cs="Times New Roman"/>
          <w:b/>
          <w:sz w:val="26"/>
          <w:szCs w:val="26"/>
        </w:rPr>
        <w:t xml:space="preserve">ng coban vào năm 2024 và </w:t>
      </w:r>
      <w:r w:rsidR="00ED7638">
        <w:rPr>
          <w:rFonts w:cs="Times New Roman"/>
          <w:b/>
          <w:sz w:val="26"/>
          <w:szCs w:val="26"/>
        </w:rPr>
        <w:t>tình hình giá cả</w:t>
      </w:r>
    </w:p>
    <w:p w:rsidR="00ED7638" w:rsidRDefault="00EE345F" w:rsidP="00F12118">
      <w:pPr>
        <w:ind w:firstLine="567"/>
        <w:jc w:val="both"/>
        <w:rPr>
          <w:rFonts w:cs="Times New Roman"/>
          <w:sz w:val="26"/>
          <w:szCs w:val="26"/>
        </w:rPr>
      </w:pPr>
      <w:r w:rsidRPr="00EE345F">
        <w:rPr>
          <w:rFonts w:cs="Times New Roman"/>
          <w:sz w:val="26"/>
          <w:szCs w:val="26"/>
        </w:rPr>
        <w:t>Thị trường coban ổn định hơn vào cuối tháng 6 khi một số nguồn cung dư thừa đã được hấp thụ</w:t>
      </w:r>
      <w:r>
        <w:rPr>
          <w:rFonts w:cs="Times New Roman"/>
          <w:sz w:val="26"/>
          <w:szCs w:val="26"/>
        </w:rPr>
        <w:t>.</w:t>
      </w:r>
      <w:r w:rsidR="00F12118">
        <w:rPr>
          <w:rFonts w:cs="Times New Roman"/>
          <w:sz w:val="26"/>
          <w:szCs w:val="26"/>
        </w:rPr>
        <w:t xml:space="preserve"> </w:t>
      </w:r>
      <w:r w:rsidRPr="00EE345F">
        <w:rPr>
          <w:rFonts w:cs="Times New Roman"/>
          <w:sz w:val="26"/>
          <w:szCs w:val="26"/>
        </w:rPr>
        <w:t>Giá tiếp tục giảm đều đặn vào tháng 6 do tình trạng cung vượt cầu dai dẳng từ các mỏ ở Cộng hòa Dân chủ</w:t>
      </w:r>
      <w:r w:rsidR="009B2B67">
        <w:rPr>
          <w:rFonts w:cs="Times New Roman"/>
          <w:sz w:val="26"/>
          <w:szCs w:val="26"/>
        </w:rPr>
        <w:t xml:space="preserve"> Congo và Indonesia</w:t>
      </w:r>
      <w:r w:rsidR="00BF1F38">
        <w:rPr>
          <w:rFonts w:cs="Times New Roman"/>
          <w:sz w:val="26"/>
          <w:szCs w:val="26"/>
        </w:rPr>
        <w:t>.</w:t>
      </w:r>
    </w:p>
    <w:p w:rsidR="00EE345F" w:rsidRPr="00EE345F" w:rsidRDefault="00EE345F" w:rsidP="00DF5F3B">
      <w:pPr>
        <w:ind w:firstLine="709"/>
        <w:jc w:val="both"/>
        <w:rPr>
          <w:rFonts w:cs="Times New Roman"/>
          <w:sz w:val="26"/>
          <w:szCs w:val="26"/>
        </w:rPr>
      </w:pPr>
      <w:r w:rsidRPr="00EE345F">
        <w:rPr>
          <w:rFonts w:cs="Times New Roman"/>
          <w:sz w:val="26"/>
          <w:szCs w:val="26"/>
        </w:rPr>
        <w:t xml:space="preserve"> Fastmarkets dự kiến ​​nhu cầu coban sẽ</w:t>
      </w:r>
      <w:r w:rsidR="00F12118">
        <w:rPr>
          <w:rFonts w:cs="Times New Roman"/>
          <w:sz w:val="26"/>
          <w:szCs w:val="26"/>
        </w:rPr>
        <w:t xml:space="preserve"> tăng vào năm 2024, nhưng</w:t>
      </w:r>
      <w:r w:rsidRPr="00EE345F">
        <w:rPr>
          <w:rFonts w:cs="Times New Roman"/>
          <w:sz w:val="26"/>
          <w:szCs w:val="26"/>
        </w:rPr>
        <w:t xml:space="preserve"> nhu cầu tăng này sẽ không đủ để bù đắp cho nguồn cung tăng, dẫn đến một năm thặng dư nữ</w:t>
      </w:r>
      <w:r>
        <w:rPr>
          <w:rFonts w:cs="Times New Roman"/>
          <w:sz w:val="26"/>
          <w:szCs w:val="26"/>
        </w:rPr>
        <w:t>a.</w:t>
      </w:r>
    </w:p>
    <w:p w:rsidR="00EE345F" w:rsidRPr="00EE345F" w:rsidRDefault="00EE345F" w:rsidP="00DF5F3B">
      <w:pPr>
        <w:ind w:firstLine="709"/>
        <w:jc w:val="both"/>
        <w:rPr>
          <w:rFonts w:cs="Times New Roman"/>
          <w:sz w:val="26"/>
          <w:szCs w:val="26"/>
        </w:rPr>
      </w:pPr>
      <w:r w:rsidRPr="00EE345F">
        <w:rPr>
          <w:rFonts w:cs="Times New Roman"/>
          <w:sz w:val="26"/>
          <w:szCs w:val="26"/>
        </w:rPr>
        <w:t>FocusEconomics đã vẽ nên một bức tranh lạc quan</w:t>
      </w:r>
      <w:r w:rsidR="00B56DDD">
        <w:rPr>
          <w:rFonts w:cs="Times New Roman"/>
          <w:sz w:val="26"/>
          <w:szCs w:val="26"/>
        </w:rPr>
        <w:t xml:space="preserve"> hơn, trong báo cáo của họ: </w:t>
      </w:r>
      <w:r w:rsidRPr="00EE345F">
        <w:rPr>
          <w:rFonts w:cs="Times New Roman"/>
          <w:sz w:val="26"/>
          <w:szCs w:val="26"/>
        </w:rPr>
        <w:t>“Giá sẽ tăng vọt từ mức hiện tại vào cuối năm do nhu cầu xe điện (EV) phục hồi, cũng như hoạt động mua đầu cơ từ các quỹ đầu cơ và kế hoạch tích trữ tại Trung Quốc”,. “Về lâu dài, giá sẽ tăng cao hơn nữa vì kim loại này được sử dụng trong các ứng dụng điện tử và pin lithium-ion, vốn được sử dụng rộng rãi trong EV”.</w:t>
      </w:r>
    </w:p>
    <w:p w:rsidR="00BF1F38" w:rsidRDefault="00DC40FD" w:rsidP="00C62ACC">
      <w:pPr>
        <w:ind w:firstLine="567"/>
        <w:jc w:val="both"/>
        <w:rPr>
          <w:rFonts w:cs="Times New Roman"/>
          <w:b/>
          <w:sz w:val="26"/>
          <w:szCs w:val="26"/>
        </w:rPr>
      </w:pPr>
      <w:r>
        <w:rPr>
          <w:noProof/>
        </w:rPr>
        <w:lastRenderedPageBreak/>
        <w:drawing>
          <wp:inline distT="0" distB="0" distL="0" distR="0" wp14:anchorId="7A7B939D" wp14:editId="62C8FF0E">
            <wp:extent cx="5286615" cy="26202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89430" cy="2621650"/>
                    </a:xfrm>
                    <a:prstGeom prst="rect">
                      <a:avLst/>
                    </a:prstGeom>
                  </pic:spPr>
                </pic:pic>
              </a:graphicData>
            </a:graphic>
          </wp:inline>
        </w:drawing>
      </w:r>
      <w:r>
        <w:rPr>
          <w:rFonts w:cs="Times New Roman"/>
          <w:b/>
          <w:sz w:val="26"/>
          <w:szCs w:val="26"/>
        </w:rPr>
        <w:t xml:space="preserve"> </w:t>
      </w:r>
    </w:p>
    <w:p w:rsidR="001954E2" w:rsidRPr="00DF5F3B" w:rsidRDefault="00B56DDD" w:rsidP="00DF5F3B">
      <w:pPr>
        <w:ind w:firstLine="567"/>
        <w:jc w:val="center"/>
        <w:rPr>
          <w:rFonts w:cs="Times New Roman"/>
          <w:i/>
          <w:sz w:val="26"/>
          <w:szCs w:val="26"/>
        </w:rPr>
      </w:pPr>
      <w:r w:rsidRPr="00DF5F3B">
        <w:rPr>
          <w:rFonts w:cs="Times New Roman"/>
          <w:i/>
          <w:sz w:val="26"/>
          <w:szCs w:val="26"/>
        </w:rPr>
        <w:t>Hình 2</w:t>
      </w:r>
      <w:r w:rsidR="001954E2" w:rsidRPr="00DF5F3B">
        <w:rPr>
          <w:rFonts w:cs="Times New Roman"/>
          <w:i/>
          <w:sz w:val="26"/>
          <w:szCs w:val="26"/>
        </w:rPr>
        <w:t>. Biến động giá Coban từ tháng 9/2023 – 6/2024</w:t>
      </w:r>
    </w:p>
    <w:p w:rsidR="00DC40FD" w:rsidRDefault="00DC40FD" w:rsidP="00C62ACC">
      <w:pPr>
        <w:ind w:firstLine="567"/>
        <w:jc w:val="both"/>
        <w:rPr>
          <w:rFonts w:cs="Times New Roman"/>
          <w:b/>
          <w:sz w:val="26"/>
          <w:szCs w:val="26"/>
        </w:rPr>
      </w:pPr>
      <w:r>
        <w:rPr>
          <w:rFonts w:cs="Times New Roman"/>
          <w:b/>
          <w:sz w:val="26"/>
          <w:szCs w:val="26"/>
        </w:rPr>
        <w:t xml:space="preserve">  </w:t>
      </w:r>
      <w:r>
        <w:rPr>
          <w:noProof/>
        </w:rPr>
        <w:drawing>
          <wp:inline distT="0" distB="0" distL="0" distR="0" wp14:anchorId="4246C79C" wp14:editId="18AB2390">
            <wp:extent cx="5202091" cy="226679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02091" cy="2266790"/>
                    </a:xfrm>
                    <a:prstGeom prst="rect">
                      <a:avLst/>
                    </a:prstGeom>
                  </pic:spPr>
                </pic:pic>
              </a:graphicData>
            </a:graphic>
          </wp:inline>
        </w:drawing>
      </w:r>
    </w:p>
    <w:p w:rsidR="00735117" w:rsidRPr="00DF5F3B" w:rsidRDefault="00BF1F38" w:rsidP="00DF5F3B">
      <w:pPr>
        <w:spacing w:after="0" w:line="240" w:lineRule="atLeast"/>
        <w:ind w:firstLine="567"/>
        <w:jc w:val="center"/>
        <w:rPr>
          <w:rFonts w:cs="Times New Roman"/>
          <w:i/>
          <w:sz w:val="26"/>
          <w:szCs w:val="26"/>
        </w:rPr>
      </w:pPr>
      <w:r w:rsidRPr="00DF5F3B">
        <w:rPr>
          <w:rFonts w:cs="Times New Roman"/>
          <w:i/>
          <w:sz w:val="26"/>
          <w:szCs w:val="26"/>
        </w:rPr>
        <w:t>Hình</w:t>
      </w:r>
      <w:r w:rsidR="001954E2" w:rsidRPr="00DF5F3B">
        <w:rPr>
          <w:rFonts w:cs="Times New Roman"/>
          <w:i/>
          <w:sz w:val="26"/>
          <w:szCs w:val="26"/>
        </w:rPr>
        <w:t xml:space="preserve"> </w:t>
      </w:r>
      <w:r w:rsidR="00DF5F3B">
        <w:rPr>
          <w:rFonts w:cs="Times New Roman"/>
          <w:i/>
          <w:sz w:val="26"/>
          <w:szCs w:val="26"/>
        </w:rPr>
        <w:t>3</w:t>
      </w:r>
      <w:bookmarkStart w:id="0" w:name="_GoBack"/>
      <w:bookmarkEnd w:id="0"/>
      <w:r w:rsidRPr="00DF5F3B">
        <w:rPr>
          <w:rFonts w:cs="Times New Roman"/>
          <w:i/>
          <w:sz w:val="26"/>
          <w:szCs w:val="26"/>
        </w:rPr>
        <w:t>. Biến động gi</w:t>
      </w:r>
      <w:r w:rsidR="001954E2" w:rsidRPr="00DF5F3B">
        <w:rPr>
          <w:rFonts w:cs="Times New Roman"/>
          <w:i/>
          <w:sz w:val="26"/>
          <w:szCs w:val="26"/>
        </w:rPr>
        <w:t>á Coban từ năm 2020 - 2024</w:t>
      </w:r>
    </w:p>
    <w:p w:rsidR="005A6B2A" w:rsidRDefault="005A6B2A" w:rsidP="00635BF4">
      <w:pPr>
        <w:spacing w:after="0" w:line="240" w:lineRule="atLeast"/>
        <w:ind w:firstLine="567"/>
        <w:jc w:val="both"/>
        <w:rPr>
          <w:rFonts w:cs="Times New Roman"/>
          <w:b/>
          <w:sz w:val="26"/>
          <w:szCs w:val="26"/>
        </w:rPr>
      </w:pPr>
    </w:p>
    <w:p w:rsidR="00735117" w:rsidRPr="004E06C9" w:rsidRDefault="00735117" w:rsidP="00735117">
      <w:pPr>
        <w:ind w:firstLine="567"/>
        <w:jc w:val="both"/>
        <w:rPr>
          <w:rFonts w:cs="Times New Roman"/>
          <w:sz w:val="26"/>
          <w:szCs w:val="26"/>
        </w:rPr>
      </w:pPr>
      <w:r w:rsidRPr="004E06C9">
        <w:rPr>
          <w:rFonts w:cs="Times New Roman"/>
          <w:sz w:val="26"/>
          <w:szCs w:val="26"/>
        </w:rPr>
        <w:t>Cobalt đã giảm 2.510 USD/T (8,62%) kể từ đầu năm 2024, Trong lịch sử, Cobalt đã đạt mức cao nhất mọi thời đại là 95250USD/T vào tháng 3 năm 2018.</w:t>
      </w:r>
    </w:p>
    <w:p w:rsidR="00735117" w:rsidRDefault="00735117" w:rsidP="00735117">
      <w:pPr>
        <w:ind w:firstLine="567"/>
        <w:jc w:val="both"/>
        <w:rPr>
          <w:rFonts w:cs="Times New Roman"/>
          <w:sz w:val="26"/>
          <w:szCs w:val="26"/>
        </w:rPr>
      </w:pPr>
      <w:r w:rsidRPr="00EE345F">
        <w:rPr>
          <w:rFonts w:cs="Times New Roman"/>
          <w:sz w:val="26"/>
          <w:szCs w:val="26"/>
        </w:rPr>
        <w:t>Các chuyên gia của FocusEconomics dự đoán giá coban sẽ đạt 34.526 đô la Mỹ vào quý 4.</w:t>
      </w:r>
    </w:p>
    <w:p w:rsidR="00735117" w:rsidRDefault="00735117" w:rsidP="00635BF4">
      <w:pPr>
        <w:spacing w:after="0" w:line="240" w:lineRule="atLeast"/>
        <w:ind w:firstLine="567"/>
        <w:jc w:val="both"/>
        <w:rPr>
          <w:rFonts w:cs="Times New Roman"/>
          <w:b/>
          <w:sz w:val="26"/>
          <w:szCs w:val="26"/>
        </w:rPr>
      </w:pPr>
    </w:p>
    <w:p w:rsidR="00635BF4" w:rsidRPr="006B414F" w:rsidRDefault="00635BF4" w:rsidP="00635BF4">
      <w:pPr>
        <w:spacing w:after="0" w:line="240" w:lineRule="atLeast"/>
        <w:ind w:firstLine="567"/>
        <w:jc w:val="both"/>
        <w:rPr>
          <w:rFonts w:cs="Times New Roman"/>
          <w:b/>
          <w:sz w:val="26"/>
          <w:szCs w:val="26"/>
        </w:rPr>
      </w:pPr>
      <w:r w:rsidRPr="006B414F">
        <w:rPr>
          <w:rFonts w:cs="Times New Roman"/>
          <w:b/>
          <w:sz w:val="26"/>
          <w:szCs w:val="26"/>
        </w:rPr>
        <w:t>Tài liệu tham khảo:</w:t>
      </w:r>
    </w:p>
    <w:p w:rsidR="00635BF4" w:rsidRDefault="00635BF4" w:rsidP="00865E35">
      <w:pPr>
        <w:spacing w:after="0" w:line="312" w:lineRule="auto"/>
        <w:ind w:firstLine="567"/>
        <w:jc w:val="both"/>
        <w:rPr>
          <w:rFonts w:cs="Times New Roman"/>
          <w:i/>
          <w:sz w:val="26"/>
          <w:szCs w:val="26"/>
        </w:rPr>
      </w:pPr>
      <w:r>
        <w:rPr>
          <w:rFonts w:cs="Times New Roman"/>
          <w:sz w:val="26"/>
          <w:szCs w:val="26"/>
        </w:rPr>
        <w:t xml:space="preserve">1. </w:t>
      </w:r>
      <w:r w:rsidR="00DC40FD" w:rsidRPr="00DC40FD">
        <w:rPr>
          <w:rFonts w:cs="Times New Roman"/>
          <w:i/>
          <w:sz w:val="26"/>
          <w:szCs w:val="26"/>
        </w:rPr>
        <w:t>https://tradingeconomics.com/commodity/cobalt</w:t>
      </w:r>
    </w:p>
    <w:p w:rsidR="00DA00FA" w:rsidRPr="00EE1492" w:rsidRDefault="00DA00FA" w:rsidP="00865E35">
      <w:pPr>
        <w:spacing w:after="0" w:line="312" w:lineRule="auto"/>
        <w:ind w:firstLine="567"/>
        <w:jc w:val="both"/>
        <w:rPr>
          <w:rFonts w:cs="Times New Roman"/>
          <w:sz w:val="26"/>
          <w:szCs w:val="26"/>
        </w:rPr>
      </w:pPr>
      <w:r w:rsidRPr="00EE1492">
        <w:rPr>
          <w:rFonts w:cs="Times New Roman"/>
          <w:sz w:val="26"/>
          <w:szCs w:val="26"/>
        </w:rPr>
        <w:t xml:space="preserve">2. </w:t>
      </w:r>
      <w:hyperlink r:id="rId10" w:history="1">
        <w:r w:rsidR="00AF77B9" w:rsidRPr="00723FE2">
          <w:rPr>
            <w:rStyle w:val="Hyperlink"/>
            <w:rFonts w:cs="Times New Roman"/>
            <w:sz w:val="26"/>
            <w:szCs w:val="26"/>
          </w:rPr>
          <w:t>https://www.businessresearchinsights.com/</w:t>
        </w:r>
      </w:hyperlink>
    </w:p>
    <w:sectPr w:rsidR="00DA00FA" w:rsidRPr="00EE14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BA9" w:rsidRDefault="00F66BA9" w:rsidP="00DC40FD">
      <w:pPr>
        <w:spacing w:after="0" w:line="240" w:lineRule="auto"/>
      </w:pPr>
      <w:r>
        <w:separator/>
      </w:r>
    </w:p>
  </w:endnote>
  <w:endnote w:type="continuationSeparator" w:id="0">
    <w:p w:rsidR="00F66BA9" w:rsidRDefault="00F66BA9" w:rsidP="00DC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BA9" w:rsidRDefault="00F66BA9" w:rsidP="00DC40FD">
      <w:pPr>
        <w:spacing w:after="0" w:line="240" w:lineRule="auto"/>
      </w:pPr>
      <w:r>
        <w:separator/>
      </w:r>
    </w:p>
  </w:footnote>
  <w:footnote w:type="continuationSeparator" w:id="0">
    <w:p w:rsidR="00F66BA9" w:rsidRDefault="00F66BA9" w:rsidP="00DC4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72"/>
    <w:rsid w:val="00007613"/>
    <w:rsid w:val="00027B10"/>
    <w:rsid w:val="000432E9"/>
    <w:rsid w:val="0005292D"/>
    <w:rsid w:val="0007238A"/>
    <w:rsid w:val="000B21C1"/>
    <w:rsid w:val="000E0B5A"/>
    <w:rsid w:val="00137167"/>
    <w:rsid w:val="001702AB"/>
    <w:rsid w:val="00182A36"/>
    <w:rsid w:val="001954E2"/>
    <w:rsid w:val="001D0C4B"/>
    <w:rsid w:val="00245AEB"/>
    <w:rsid w:val="002573A5"/>
    <w:rsid w:val="00270383"/>
    <w:rsid w:val="00363A1D"/>
    <w:rsid w:val="00441E48"/>
    <w:rsid w:val="0046577C"/>
    <w:rsid w:val="004E06C9"/>
    <w:rsid w:val="0051189C"/>
    <w:rsid w:val="00514723"/>
    <w:rsid w:val="005604E6"/>
    <w:rsid w:val="005A6B2A"/>
    <w:rsid w:val="005D1109"/>
    <w:rsid w:val="00635BF4"/>
    <w:rsid w:val="00643DD3"/>
    <w:rsid w:val="006B414F"/>
    <w:rsid w:val="006C1343"/>
    <w:rsid w:val="00735117"/>
    <w:rsid w:val="00743D43"/>
    <w:rsid w:val="007646C0"/>
    <w:rsid w:val="00786C0C"/>
    <w:rsid w:val="007C52DA"/>
    <w:rsid w:val="007F1F52"/>
    <w:rsid w:val="00813481"/>
    <w:rsid w:val="0082112B"/>
    <w:rsid w:val="008235E9"/>
    <w:rsid w:val="00865E35"/>
    <w:rsid w:val="00900AE4"/>
    <w:rsid w:val="00913423"/>
    <w:rsid w:val="00914248"/>
    <w:rsid w:val="00917CB2"/>
    <w:rsid w:val="00925A77"/>
    <w:rsid w:val="00931540"/>
    <w:rsid w:val="0093709E"/>
    <w:rsid w:val="009437BE"/>
    <w:rsid w:val="009B2B67"/>
    <w:rsid w:val="009C5286"/>
    <w:rsid w:val="00A345EA"/>
    <w:rsid w:val="00AC1319"/>
    <w:rsid w:val="00AC4BD9"/>
    <w:rsid w:val="00AC6AEA"/>
    <w:rsid w:val="00AF77B9"/>
    <w:rsid w:val="00B56DDD"/>
    <w:rsid w:val="00BD625B"/>
    <w:rsid w:val="00BF1F38"/>
    <w:rsid w:val="00C62ACC"/>
    <w:rsid w:val="00CA0507"/>
    <w:rsid w:val="00CA640C"/>
    <w:rsid w:val="00CB56F0"/>
    <w:rsid w:val="00CE74E5"/>
    <w:rsid w:val="00D11361"/>
    <w:rsid w:val="00D37565"/>
    <w:rsid w:val="00D75D2E"/>
    <w:rsid w:val="00DA00FA"/>
    <w:rsid w:val="00DB3116"/>
    <w:rsid w:val="00DC40FD"/>
    <w:rsid w:val="00DC65E3"/>
    <w:rsid w:val="00DF5F3B"/>
    <w:rsid w:val="00E4613C"/>
    <w:rsid w:val="00E953F3"/>
    <w:rsid w:val="00EC0467"/>
    <w:rsid w:val="00ED7638"/>
    <w:rsid w:val="00EE1492"/>
    <w:rsid w:val="00EE345F"/>
    <w:rsid w:val="00F12118"/>
    <w:rsid w:val="00F5580F"/>
    <w:rsid w:val="00F60A72"/>
    <w:rsid w:val="00F66BA9"/>
    <w:rsid w:val="00FD7316"/>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00C2"/>
  <w15:docId w15:val="{CF70E90A-3772-4620-9B87-569C7DDB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A72"/>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5604E6"/>
    <w:pPr>
      <w:keepNext/>
      <w:keepLines/>
      <w:spacing w:before="240" w:after="240" w:line="240" w:lineRule="auto"/>
      <w:outlineLvl w:val="0"/>
    </w:pPr>
    <w:rPr>
      <w:rFonts w:eastAsiaTheme="majorEastAsia" w:cstheme="majorBidi"/>
      <w:b/>
      <w:szCs w:val="32"/>
    </w:rPr>
  </w:style>
  <w:style w:type="paragraph" w:styleId="Heading3">
    <w:name w:val="heading 3"/>
    <w:basedOn w:val="Normal"/>
    <w:link w:val="Heading3Char"/>
    <w:uiPriority w:val="9"/>
    <w:qFormat/>
    <w:rsid w:val="0093154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4E6"/>
    <w:rPr>
      <w:rFonts w:ascii="Times New Roman" w:eastAsiaTheme="majorEastAsia" w:hAnsi="Times New Roman" w:cstheme="majorBidi"/>
      <w:b/>
      <w:sz w:val="28"/>
      <w:szCs w:val="32"/>
    </w:rPr>
  </w:style>
  <w:style w:type="paragraph" w:styleId="Caption">
    <w:name w:val="caption"/>
    <w:basedOn w:val="Normal"/>
    <w:next w:val="Normal"/>
    <w:unhideWhenUsed/>
    <w:qFormat/>
    <w:rsid w:val="00F60A72"/>
    <w:pPr>
      <w:spacing w:before="120" w:after="120" w:line="288" w:lineRule="auto"/>
      <w:jc w:val="center"/>
    </w:pPr>
    <w:rPr>
      <w:rFonts w:eastAsia="Arial" w:cs="Times New Roman"/>
      <w:b/>
      <w:bCs/>
      <w:sz w:val="24"/>
      <w:szCs w:val="20"/>
    </w:rPr>
  </w:style>
  <w:style w:type="paragraph" w:customStyle="1" w:styleId="TextBang">
    <w:name w:val="Text_Bang"/>
    <w:basedOn w:val="Normal"/>
    <w:link w:val="TextBangChar"/>
    <w:autoRedefine/>
    <w:qFormat/>
    <w:rsid w:val="00F60A72"/>
    <w:pPr>
      <w:tabs>
        <w:tab w:val="left" w:pos="8160"/>
      </w:tabs>
      <w:spacing w:after="0" w:line="360" w:lineRule="auto"/>
      <w:jc w:val="center"/>
    </w:pPr>
    <w:rPr>
      <w:rFonts w:eastAsia="Calibri" w:cs="Times New Roman"/>
      <w:sz w:val="26"/>
      <w:szCs w:val="28"/>
    </w:rPr>
  </w:style>
  <w:style w:type="character" w:customStyle="1" w:styleId="TextBangChar">
    <w:name w:val="Text_Bang Char"/>
    <w:link w:val="TextBang"/>
    <w:rsid w:val="00F60A72"/>
    <w:rPr>
      <w:rFonts w:ascii="Times New Roman" w:eastAsia="Calibri" w:hAnsi="Times New Roman" w:cs="Times New Roman"/>
      <w:sz w:val="26"/>
      <w:szCs w:val="28"/>
    </w:rPr>
  </w:style>
  <w:style w:type="table" w:styleId="TableGrid">
    <w:name w:val="Table Grid"/>
    <w:basedOn w:val="TableNormal"/>
    <w:uiPriority w:val="39"/>
    <w:rsid w:val="00245A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THUONG"/>
    <w:basedOn w:val="Normal"/>
    <w:uiPriority w:val="1"/>
    <w:qFormat/>
    <w:rsid w:val="0051189C"/>
    <w:pPr>
      <w:spacing w:after="0" w:line="240" w:lineRule="auto"/>
    </w:pPr>
    <w:rPr>
      <w:rFonts w:asciiTheme="minorHAnsi" w:eastAsiaTheme="minorEastAsia" w:hAnsiTheme="minorHAnsi"/>
      <w:sz w:val="22"/>
    </w:rPr>
  </w:style>
  <w:style w:type="paragraph" w:styleId="BalloonText">
    <w:name w:val="Balloon Text"/>
    <w:basedOn w:val="Normal"/>
    <w:link w:val="BalloonTextChar"/>
    <w:uiPriority w:val="99"/>
    <w:semiHidden/>
    <w:unhideWhenUsed/>
    <w:rsid w:val="00170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2AB"/>
    <w:rPr>
      <w:rFonts w:ascii="Tahoma" w:hAnsi="Tahoma" w:cs="Tahoma"/>
      <w:sz w:val="16"/>
      <w:szCs w:val="16"/>
    </w:rPr>
  </w:style>
  <w:style w:type="character" w:styleId="Hyperlink">
    <w:name w:val="Hyperlink"/>
    <w:basedOn w:val="DefaultParagraphFont"/>
    <w:uiPriority w:val="99"/>
    <w:unhideWhenUsed/>
    <w:rsid w:val="005D1109"/>
    <w:rPr>
      <w:color w:val="0563C1" w:themeColor="hyperlink"/>
      <w:u w:val="single"/>
    </w:rPr>
  </w:style>
  <w:style w:type="character" w:customStyle="1" w:styleId="Heading3Char">
    <w:name w:val="Heading 3 Char"/>
    <w:basedOn w:val="DefaultParagraphFont"/>
    <w:link w:val="Heading3"/>
    <w:uiPriority w:val="9"/>
    <w:rsid w:val="00931540"/>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C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0FD"/>
    <w:rPr>
      <w:rFonts w:ascii="Times New Roman" w:hAnsi="Times New Roman"/>
      <w:sz w:val="28"/>
    </w:rPr>
  </w:style>
  <w:style w:type="paragraph" w:styleId="Footer">
    <w:name w:val="footer"/>
    <w:basedOn w:val="Normal"/>
    <w:link w:val="FooterChar"/>
    <w:uiPriority w:val="99"/>
    <w:unhideWhenUsed/>
    <w:rsid w:val="00DC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0F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272">
      <w:bodyDiv w:val="1"/>
      <w:marLeft w:val="0"/>
      <w:marRight w:val="0"/>
      <w:marTop w:val="0"/>
      <w:marBottom w:val="0"/>
      <w:divBdr>
        <w:top w:val="none" w:sz="0" w:space="0" w:color="auto"/>
        <w:left w:val="none" w:sz="0" w:space="0" w:color="auto"/>
        <w:bottom w:val="none" w:sz="0" w:space="0" w:color="auto"/>
        <w:right w:val="none" w:sz="0" w:space="0" w:color="auto"/>
      </w:divBdr>
    </w:div>
    <w:div w:id="153181585">
      <w:bodyDiv w:val="1"/>
      <w:marLeft w:val="0"/>
      <w:marRight w:val="0"/>
      <w:marTop w:val="0"/>
      <w:marBottom w:val="0"/>
      <w:divBdr>
        <w:top w:val="none" w:sz="0" w:space="0" w:color="auto"/>
        <w:left w:val="none" w:sz="0" w:space="0" w:color="auto"/>
        <w:bottom w:val="none" w:sz="0" w:space="0" w:color="auto"/>
        <w:right w:val="none" w:sz="0" w:space="0" w:color="auto"/>
      </w:divBdr>
    </w:div>
    <w:div w:id="92504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usinessresearchinsights.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AA43-5BA3-4E49-8FA9-0B4D02F9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4</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Duyen</dc:creator>
  <cp:lastModifiedBy>PHAM DUC TRONG</cp:lastModifiedBy>
  <cp:revision>17</cp:revision>
  <dcterms:created xsi:type="dcterms:W3CDTF">2023-08-31T00:56:00Z</dcterms:created>
  <dcterms:modified xsi:type="dcterms:W3CDTF">2024-08-08T07:45:00Z</dcterms:modified>
</cp:coreProperties>
</file>