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68" w:type="dxa"/>
        <w:tblInd w:w="-34" w:type="dxa"/>
        <w:tblLook w:val="04A0" w:firstRow="1" w:lastRow="0" w:firstColumn="1" w:lastColumn="0" w:noHBand="0" w:noVBand="1"/>
      </w:tblPr>
      <w:tblGrid>
        <w:gridCol w:w="9640"/>
        <w:gridCol w:w="5528"/>
      </w:tblGrid>
      <w:tr w:rsidR="0014132A" w:rsidRPr="00AE203A" w14:paraId="7ED1A6A8" w14:textId="77777777" w:rsidTr="00297077">
        <w:tc>
          <w:tcPr>
            <w:tcW w:w="9640" w:type="dxa"/>
          </w:tcPr>
          <w:p w14:paraId="0988C0DC" w14:textId="77777777" w:rsidR="0014132A" w:rsidRPr="00AE203A" w:rsidRDefault="0014132A" w:rsidP="00297077">
            <w:pPr>
              <w:spacing w:before="120" w:line="240" w:lineRule="auto"/>
              <w:jc w:val="center"/>
              <w:rPr>
                <w:rFonts w:ascii="Times New Roman" w:hAnsi="Times New Roman" w:cs="Times New Roman"/>
                <w:sz w:val="28"/>
                <w:szCs w:val="28"/>
              </w:rPr>
            </w:pPr>
            <w:r w:rsidRPr="00AE203A">
              <w:rPr>
                <w:rFonts w:ascii="Times New Roman" w:hAnsi="Times New Roman" w:cs="Times New Roman"/>
                <w:sz w:val="28"/>
                <w:szCs w:val="28"/>
              </w:rPr>
              <w:t>VIỆN KHOA HỌC ĐỊA CHẤT VÀ KHOÁNG SẢN</w:t>
            </w:r>
          </w:p>
          <w:p w14:paraId="5E5B604F" w14:textId="77777777" w:rsidR="0014132A" w:rsidRPr="00AE203A" w:rsidRDefault="0014132A" w:rsidP="00297077">
            <w:pPr>
              <w:spacing w:before="120" w:line="240" w:lineRule="auto"/>
              <w:jc w:val="center"/>
              <w:rPr>
                <w:rFonts w:ascii="Times New Roman" w:hAnsi="Times New Roman" w:cs="Times New Roman"/>
                <w:b/>
                <w:bCs/>
                <w:sz w:val="28"/>
                <w:szCs w:val="28"/>
              </w:rPr>
            </w:pPr>
            <w:r w:rsidRPr="00AE203A">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692AEB05" wp14:editId="2E870D90">
                      <wp:simplePos x="0" y="0"/>
                      <wp:positionH relativeFrom="column">
                        <wp:posOffset>1928495</wp:posOffset>
                      </wp:positionH>
                      <wp:positionV relativeFrom="paragraph">
                        <wp:posOffset>255534</wp:posOffset>
                      </wp:positionV>
                      <wp:extent cx="1838325" cy="0"/>
                      <wp:effectExtent l="0" t="0" r="2857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ADD7E0" id="_x0000_t32" coordsize="21600,21600" o:spt="32" o:oned="t" path="m,l21600,21600e" filled="f">
                      <v:path arrowok="t" fillok="f" o:connecttype="none"/>
                      <o:lock v:ext="edit" shapetype="t"/>
                    </v:shapetype>
                    <v:shape id="Straight Arrow Connector 12" o:spid="_x0000_s1026" type="#_x0000_t32" style="position:absolute;margin-left:151.85pt;margin-top:20.1pt;width:144.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"/>
                  </w:pict>
                </mc:Fallback>
              </mc:AlternateContent>
            </w:r>
            <w:r w:rsidRPr="00AE203A">
              <w:rPr>
                <w:rFonts w:ascii="Times New Roman" w:hAnsi="Times New Roman" w:cs="Times New Roman"/>
                <w:b/>
                <w:bCs/>
                <w:sz w:val="28"/>
                <w:szCs w:val="28"/>
              </w:rPr>
              <w:t>PHÒNG ĐỊA CHẤT KINH TẾ VÀ ĐỊA TIN HỌC</w:t>
            </w:r>
          </w:p>
          <w:p w14:paraId="728A8CDD" w14:textId="77777777" w:rsidR="0014132A" w:rsidRPr="00AE203A" w:rsidRDefault="0014132A" w:rsidP="00297077">
            <w:pPr>
              <w:spacing w:before="120" w:line="360" w:lineRule="auto"/>
              <w:jc w:val="center"/>
              <w:rPr>
                <w:rFonts w:ascii="Times New Roman" w:hAnsi="Times New Roman" w:cs="Times New Roman"/>
                <w:sz w:val="28"/>
                <w:szCs w:val="28"/>
              </w:rPr>
            </w:pPr>
          </w:p>
        </w:tc>
        <w:tc>
          <w:tcPr>
            <w:tcW w:w="5528" w:type="dxa"/>
          </w:tcPr>
          <w:p w14:paraId="484AF624" w14:textId="77777777" w:rsidR="0014132A" w:rsidRPr="00AE203A" w:rsidRDefault="0014132A" w:rsidP="00297077">
            <w:pPr>
              <w:spacing w:before="120" w:line="360" w:lineRule="auto"/>
              <w:jc w:val="center"/>
              <w:rPr>
                <w:rFonts w:ascii="Times New Roman" w:hAnsi="Times New Roman" w:cs="Times New Roman"/>
                <w:i/>
                <w:sz w:val="28"/>
                <w:szCs w:val="28"/>
              </w:rPr>
            </w:pPr>
          </w:p>
        </w:tc>
      </w:tr>
    </w:tbl>
    <w:p w14:paraId="4BF3643B" w14:textId="77777777" w:rsidR="0014132A" w:rsidRPr="00AE203A" w:rsidRDefault="0014132A" w:rsidP="0014132A">
      <w:pPr>
        <w:spacing w:before="120" w:line="360" w:lineRule="auto"/>
        <w:jc w:val="center"/>
        <w:rPr>
          <w:rFonts w:ascii="Times New Roman" w:hAnsi="Times New Roman" w:cs="Times New Roman"/>
          <w:b/>
          <w:sz w:val="28"/>
          <w:szCs w:val="28"/>
        </w:rPr>
      </w:pPr>
    </w:p>
    <w:p w14:paraId="5359062C" w14:textId="77777777" w:rsidR="0014132A" w:rsidRPr="00AE203A" w:rsidRDefault="0014132A" w:rsidP="0014132A">
      <w:pPr>
        <w:spacing w:before="120" w:line="360" w:lineRule="auto"/>
        <w:jc w:val="center"/>
        <w:rPr>
          <w:rFonts w:ascii="Times New Roman" w:hAnsi="Times New Roman" w:cs="Times New Roman"/>
          <w:b/>
          <w:sz w:val="28"/>
          <w:szCs w:val="28"/>
        </w:rPr>
      </w:pPr>
    </w:p>
    <w:p w14:paraId="194E9E8D" w14:textId="77777777" w:rsidR="0014132A" w:rsidRPr="00AE203A" w:rsidRDefault="0014132A" w:rsidP="0014132A">
      <w:pPr>
        <w:spacing w:before="120" w:line="360" w:lineRule="auto"/>
        <w:jc w:val="center"/>
        <w:rPr>
          <w:rFonts w:ascii="Times New Roman" w:hAnsi="Times New Roman" w:cs="Times New Roman"/>
          <w:b/>
          <w:sz w:val="28"/>
          <w:szCs w:val="28"/>
        </w:rPr>
      </w:pPr>
    </w:p>
    <w:p w14:paraId="78255585" w14:textId="77777777" w:rsidR="0014132A" w:rsidRPr="00AE203A" w:rsidRDefault="0014132A" w:rsidP="0014132A">
      <w:pPr>
        <w:spacing w:before="120" w:line="360" w:lineRule="auto"/>
        <w:jc w:val="center"/>
        <w:rPr>
          <w:rFonts w:ascii="Times New Roman" w:hAnsi="Times New Roman" w:cs="Times New Roman"/>
          <w:b/>
          <w:sz w:val="28"/>
          <w:szCs w:val="28"/>
        </w:rPr>
      </w:pPr>
    </w:p>
    <w:p w14:paraId="4B4EC866" w14:textId="77777777" w:rsidR="0014132A" w:rsidRPr="00AE203A" w:rsidRDefault="0014132A" w:rsidP="0014132A">
      <w:pPr>
        <w:spacing w:before="120" w:line="360" w:lineRule="auto"/>
        <w:jc w:val="center"/>
        <w:rPr>
          <w:rFonts w:ascii="Times New Roman" w:hAnsi="Times New Roman" w:cs="Times New Roman"/>
          <w:b/>
          <w:sz w:val="28"/>
          <w:szCs w:val="28"/>
        </w:rPr>
      </w:pPr>
      <w:r w:rsidRPr="00AE203A">
        <w:rPr>
          <w:rFonts w:ascii="Times New Roman" w:hAnsi="Times New Roman" w:cs="Times New Roman"/>
          <w:b/>
          <w:sz w:val="28"/>
          <w:szCs w:val="28"/>
        </w:rPr>
        <w:t>BÁO CÁO KẾT QUẢ THỰC HIỆN NHIỆM VỤ THƯỜNG XUYÊN</w:t>
      </w:r>
    </w:p>
    <w:p w14:paraId="286ADF47" w14:textId="39C8F6C6" w:rsidR="0014132A" w:rsidRPr="00AE203A" w:rsidRDefault="0014132A" w:rsidP="0014132A">
      <w:pPr>
        <w:tabs>
          <w:tab w:val="left" w:pos="3801"/>
          <w:tab w:val="center" w:pos="4658"/>
        </w:tabs>
        <w:spacing w:before="120" w:line="360" w:lineRule="auto"/>
        <w:jc w:val="center"/>
        <w:rPr>
          <w:rFonts w:ascii="Times New Roman" w:hAnsi="Times New Roman" w:cs="Times New Roman"/>
          <w:b/>
          <w:sz w:val="28"/>
          <w:szCs w:val="28"/>
        </w:rPr>
      </w:pPr>
      <w:r w:rsidRPr="00AE203A">
        <w:rPr>
          <w:rFonts w:ascii="Times New Roman" w:hAnsi="Times New Roman" w:cs="Times New Roman"/>
          <w:b/>
          <w:sz w:val="28"/>
          <w:szCs w:val="28"/>
        </w:rPr>
        <w:t xml:space="preserve">BẢN TIN THÁNG </w:t>
      </w:r>
      <w:r>
        <w:rPr>
          <w:rFonts w:ascii="Times New Roman" w:hAnsi="Times New Roman" w:cs="Times New Roman"/>
          <w:b/>
          <w:sz w:val="28"/>
          <w:szCs w:val="28"/>
        </w:rPr>
        <w:t>1</w:t>
      </w:r>
      <w:r w:rsidR="00EB60BB">
        <w:rPr>
          <w:rFonts w:ascii="Times New Roman" w:hAnsi="Times New Roman" w:cs="Times New Roman"/>
          <w:b/>
          <w:sz w:val="28"/>
          <w:szCs w:val="28"/>
        </w:rPr>
        <w:t>2</w:t>
      </w:r>
      <w:r w:rsidRPr="00AE203A">
        <w:rPr>
          <w:rFonts w:ascii="Times New Roman" w:hAnsi="Times New Roman" w:cs="Times New Roman"/>
          <w:b/>
          <w:sz w:val="28"/>
          <w:szCs w:val="28"/>
        </w:rPr>
        <w:t>/202</w:t>
      </w:r>
      <w:r w:rsidR="00A857CD">
        <w:rPr>
          <w:rFonts w:ascii="Times New Roman" w:hAnsi="Times New Roman" w:cs="Times New Roman"/>
          <w:b/>
          <w:sz w:val="28"/>
          <w:szCs w:val="28"/>
        </w:rPr>
        <w:t>4</w:t>
      </w:r>
    </w:p>
    <w:p w14:paraId="270461B0" w14:textId="77777777" w:rsidR="0014132A" w:rsidRPr="00AE203A" w:rsidRDefault="0014132A" w:rsidP="0014132A">
      <w:pPr>
        <w:spacing w:before="120" w:line="360" w:lineRule="auto"/>
        <w:jc w:val="center"/>
        <w:rPr>
          <w:rFonts w:ascii="Times New Roman" w:hAnsi="Times New Roman" w:cs="Times New Roman"/>
          <w:b/>
          <w:sz w:val="28"/>
          <w:szCs w:val="28"/>
        </w:rPr>
      </w:pPr>
    </w:p>
    <w:p w14:paraId="6E246DEF" w14:textId="2459AEF9" w:rsidR="0014132A" w:rsidRPr="00A57B09" w:rsidRDefault="0014132A" w:rsidP="0014132A">
      <w:pPr>
        <w:shd w:val="clear" w:color="auto" w:fill="FFFFFF"/>
        <w:spacing w:before="120" w:line="360" w:lineRule="auto"/>
        <w:jc w:val="center"/>
        <w:rPr>
          <w:rFonts w:ascii="Times New Roman" w:hAnsi="Times New Roman" w:cs="Times New Roman"/>
          <w:b/>
          <w:spacing w:val="3"/>
          <w:sz w:val="28"/>
          <w:szCs w:val="28"/>
        </w:rPr>
      </w:pPr>
      <w:r w:rsidRPr="00A57B09">
        <w:rPr>
          <w:rFonts w:ascii="Times New Roman" w:hAnsi="Times New Roman" w:cs="Times New Roman"/>
          <w:b/>
          <w:sz w:val="28"/>
          <w:szCs w:val="28"/>
        </w:rPr>
        <w:t xml:space="preserve">Nhiệm vụ: </w:t>
      </w:r>
      <w:r w:rsidRPr="00A57B09">
        <w:rPr>
          <w:rFonts w:ascii="Times New Roman" w:hAnsi="Times New Roman" w:cs="Times New Roman"/>
          <w:b/>
          <w:spacing w:val="3"/>
          <w:sz w:val="28"/>
          <w:szCs w:val="28"/>
        </w:rPr>
        <w:t>Xây dựng Bản tin kinh tế trên trang thông tin của Viện</w:t>
      </w:r>
    </w:p>
    <w:p w14:paraId="0AEA0BB4" w14:textId="6BF9B508" w:rsidR="0014132A" w:rsidRPr="00A57B09" w:rsidRDefault="0014132A" w:rsidP="00A57B09">
      <w:pPr>
        <w:jc w:val="center"/>
        <w:rPr>
          <w:rFonts w:ascii="Times New Roman" w:hAnsi="Times New Roman" w:cs="Times New Roman"/>
          <w:i/>
          <w:iCs/>
          <w:spacing w:val="3"/>
          <w:sz w:val="28"/>
          <w:szCs w:val="28"/>
        </w:rPr>
      </w:pPr>
      <w:r w:rsidRPr="00A57B09">
        <w:rPr>
          <w:rFonts w:ascii="Times New Roman" w:hAnsi="Times New Roman" w:cs="Times New Roman"/>
          <w:i/>
          <w:iCs/>
          <w:spacing w:val="3"/>
          <w:sz w:val="28"/>
          <w:szCs w:val="28"/>
        </w:rPr>
        <w:t xml:space="preserve">Tháng </w:t>
      </w:r>
      <w:r w:rsidR="00F42DFF">
        <w:rPr>
          <w:rFonts w:ascii="Times New Roman" w:hAnsi="Times New Roman" w:cs="Times New Roman"/>
          <w:i/>
          <w:iCs/>
          <w:spacing w:val="3"/>
          <w:sz w:val="28"/>
          <w:szCs w:val="28"/>
        </w:rPr>
        <w:t>1</w:t>
      </w:r>
      <w:r w:rsidR="00EB60BB">
        <w:rPr>
          <w:rFonts w:ascii="Times New Roman" w:hAnsi="Times New Roman" w:cs="Times New Roman"/>
          <w:i/>
          <w:iCs/>
          <w:spacing w:val="3"/>
          <w:sz w:val="28"/>
          <w:szCs w:val="28"/>
        </w:rPr>
        <w:t>2</w:t>
      </w:r>
      <w:r w:rsidR="00A57B09">
        <w:rPr>
          <w:rFonts w:ascii="Times New Roman" w:hAnsi="Times New Roman" w:cs="Times New Roman"/>
          <w:i/>
          <w:iCs/>
          <w:spacing w:val="3"/>
          <w:sz w:val="28"/>
          <w:szCs w:val="28"/>
        </w:rPr>
        <w:t>/</w:t>
      </w:r>
      <w:r w:rsidR="00A857CD">
        <w:rPr>
          <w:rFonts w:ascii="Times New Roman" w:hAnsi="Times New Roman" w:cs="Times New Roman"/>
          <w:i/>
          <w:iCs/>
          <w:spacing w:val="3"/>
          <w:sz w:val="28"/>
          <w:szCs w:val="28"/>
        </w:rPr>
        <w:t>2024</w:t>
      </w:r>
      <w:r w:rsidRPr="00A57B09">
        <w:rPr>
          <w:rFonts w:ascii="Times New Roman" w:hAnsi="Times New Roman" w:cs="Times New Roman"/>
          <w:i/>
          <w:iCs/>
          <w:spacing w:val="3"/>
          <w:sz w:val="28"/>
          <w:szCs w:val="28"/>
        </w:rPr>
        <w:t xml:space="preserve">, nội dung: </w:t>
      </w:r>
      <w:r w:rsidRPr="00253C63">
        <w:rPr>
          <w:rFonts w:ascii="Times New Roman" w:hAnsi="Times New Roman" w:cs="Times New Roman"/>
          <w:b/>
          <w:i/>
          <w:spacing w:val="3"/>
          <w:sz w:val="28"/>
          <w:szCs w:val="28"/>
        </w:rPr>
        <w:t>“</w:t>
      </w:r>
      <w:r w:rsidR="009227E7">
        <w:rPr>
          <w:rFonts w:ascii="Times New Roman" w:hAnsi="Times New Roman" w:cs="Times New Roman"/>
          <w:b/>
          <w:i/>
          <w:spacing w:val="3"/>
          <w:sz w:val="28"/>
          <w:szCs w:val="28"/>
        </w:rPr>
        <w:t>B</w:t>
      </w:r>
      <w:r w:rsidR="00427047">
        <w:rPr>
          <w:rFonts w:ascii="Times New Roman" w:hAnsi="Times New Roman" w:cs="Times New Roman"/>
          <w:b/>
          <w:i/>
          <w:spacing w:val="3"/>
          <w:sz w:val="28"/>
          <w:szCs w:val="28"/>
        </w:rPr>
        <w:t>iến động giá cả khoáng sản Thiế</w:t>
      </w:r>
      <w:r w:rsidR="009227E7">
        <w:rPr>
          <w:rFonts w:ascii="Times New Roman" w:hAnsi="Times New Roman" w:cs="Times New Roman"/>
          <w:b/>
          <w:i/>
          <w:spacing w:val="3"/>
          <w:sz w:val="28"/>
          <w:szCs w:val="28"/>
        </w:rPr>
        <w:t>c năm 2024</w:t>
      </w:r>
      <w:r w:rsidR="00427047">
        <w:rPr>
          <w:rFonts w:ascii="Times New Roman" w:hAnsi="Times New Roman" w:cs="Times New Roman"/>
          <w:b/>
          <w:i/>
          <w:spacing w:val="3"/>
          <w:sz w:val="28"/>
          <w:szCs w:val="28"/>
        </w:rPr>
        <w:t xml:space="preserve"> và dự báo </w:t>
      </w:r>
      <w:r w:rsidR="00721425">
        <w:rPr>
          <w:rFonts w:ascii="Times New Roman" w:hAnsi="Times New Roman" w:cs="Times New Roman"/>
          <w:b/>
          <w:i/>
          <w:spacing w:val="3"/>
          <w:sz w:val="28"/>
          <w:szCs w:val="28"/>
        </w:rPr>
        <w:t xml:space="preserve">năm </w:t>
      </w:r>
      <w:r w:rsidR="009227E7">
        <w:rPr>
          <w:rFonts w:ascii="Times New Roman" w:hAnsi="Times New Roman" w:cs="Times New Roman"/>
          <w:b/>
          <w:i/>
          <w:spacing w:val="3"/>
          <w:sz w:val="28"/>
          <w:szCs w:val="28"/>
        </w:rPr>
        <w:t>2025</w:t>
      </w:r>
      <w:r w:rsidRPr="00A57B09">
        <w:rPr>
          <w:rFonts w:ascii="Times New Roman" w:hAnsi="Times New Roman" w:cs="Times New Roman"/>
          <w:i/>
          <w:iCs/>
          <w:spacing w:val="3"/>
          <w:sz w:val="28"/>
          <w:szCs w:val="28"/>
        </w:rPr>
        <w:t>”</w:t>
      </w:r>
    </w:p>
    <w:p w14:paraId="0628EADD" w14:textId="0FC14BAD" w:rsidR="0014132A" w:rsidRPr="00EF4083" w:rsidRDefault="0014132A" w:rsidP="002475BD">
      <w:pPr>
        <w:shd w:val="clear" w:color="auto" w:fill="FFFFFF"/>
        <w:spacing w:before="120" w:after="0" w:line="312" w:lineRule="auto"/>
        <w:ind w:firstLine="720"/>
        <w:jc w:val="both"/>
        <w:outlineLvl w:val="1"/>
        <w:rPr>
          <w:rFonts w:ascii="Times New Roman" w:hAnsi="Times New Roman" w:cs="Times New Roman"/>
          <w:b/>
          <w:i/>
          <w:spacing w:val="3"/>
          <w:sz w:val="26"/>
          <w:szCs w:val="26"/>
        </w:rPr>
      </w:pPr>
      <w:r w:rsidRPr="00570E87">
        <w:rPr>
          <w:rFonts w:ascii="Times New Roman" w:hAnsi="Times New Roman" w:cs="Times New Roman"/>
          <w:b/>
          <w:i/>
          <w:spacing w:val="3"/>
          <w:sz w:val="28"/>
          <w:szCs w:val="28"/>
        </w:rPr>
        <w:br w:type="column"/>
      </w:r>
      <w:r w:rsidR="00F120C1" w:rsidRPr="00EF4083">
        <w:rPr>
          <w:rFonts w:ascii="Times New Roman" w:hAnsi="Times New Roman" w:cs="Times New Roman"/>
          <w:b/>
          <w:i/>
          <w:spacing w:val="3"/>
          <w:sz w:val="26"/>
          <w:szCs w:val="26"/>
        </w:rPr>
        <w:lastRenderedPageBreak/>
        <w:t xml:space="preserve">Giá cả Thiếc năm 2024 </w:t>
      </w:r>
    </w:p>
    <w:p w14:paraId="1D59960B" w14:textId="2C395D05" w:rsidR="001C77E4" w:rsidRPr="00EF4083" w:rsidRDefault="00EF4083" w:rsidP="002475BD">
      <w:pPr>
        <w:spacing w:before="120" w:after="120" w:line="312" w:lineRule="auto"/>
        <w:ind w:firstLine="720"/>
        <w:jc w:val="both"/>
        <w:rPr>
          <w:rFonts w:ascii="Times New Roman" w:eastAsia="Times New Roman" w:hAnsi="Times New Roman" w:cs="Times New Roman"/>
          <w:iCs/>
          <w:sz w:val="26"/>
          <w:szCs w:val="26"/>
        </w:rPr>
      </w:pPr>
      <w:r w:rsidRPr="00EF4083">
        <w:rPr>
          <w:rFonts w:ascii="Times New Roman" w:eastAsia="Times New Roman" w:hAnsi="Times New Roman" w:cs="Times New Roman"/>
          <w:iCs/>
          <w:sz w:val="26"/>
          <w:szCs w:val="26"/>
        </w:rPr>
        <w:t xml:space="preserve">Thiếc đã tăng 8.390 USD/MT tương đương </w:t>
      </w:r>
      <w:r w:rsidR="001C77E4" w:rsidRPr="00EF4083">
        <w:rPr>
          <w:rFonts w:ascii="Times New Roman" w:eastAsia="Times New Roman" w:hAnsi="Times New Roman" w:cs="Times New Roman"/>
          <w:iCs/>
          <w:sz w:val="26"/>
          <w:szCs w:val="26"/>
        </w:rPr>
        <w:t>33,01% kể từ đầu năm 2024, theo giao dịch trên hợp đồng chênh lệch (CFD) theo d</w:t>
      </w:r>
      <w:r w:rsidRPr="00EF4083">
        <w:rPr>
          <w:rFonts w:ascii="Times New Roman" w:eastAsia="Times New Roman" w:hAnsi="Times New Roman" w:cs="Times New Roman"/>
          <w:iCs/>
          <w:sz w:val="26"/>
          <w:szCs w:val="26"/>
        </w:rPr>
        <w:t>õi thị trường chuẩn cho khoáng sản</w:t>
      </w:r>
      <w:r w:rsidR="001C77E4" w:rsidRPr="00EF4083">
        <w:rPr>
          <w:rFonts w:ascii="Times New Roman" w:eastAsia="Times New Roman" w:hAnsi="Times New Roman" w:cs="Times New Roman"/>
          <w:iCs/>
          <w:sz w:val="26"/>
          <w:szCs w:val="26"/>
        </w:rPr>
        <w:t xml:space="preserve"> này. Thiếc dự kiến ​​sẽ giao dịch ở mức 34.194,08 USD/MT vào cuối quý này, </w:t>
      </w:r>
    </w:p>
    <w:p w14:paraId="184575EA" w14:textId="4C145787" w:rsidR="004C117A" w:rsidRDefault="004C117A" w:rsidP="004C117A">
      <w:pPr>
        <w:jc w:val="center"/>
        <w:rPr>
          <w:rFonts w:ascii="Times New Roman" w:hAnsi="Times New Roman" w:cs="Times New Roman"/>
          <w:i/>
          <w:iCs/>
          <w:sz w:val="26"/>
          <w:szCs w:val="26"/>
        </w:rPr>
      </w:pPr>
      <w:r w:rsidRPr="00570E87">
        <w:rPr>
          <w:rFonts w:ascii="Times New Roman" w:hAnsi="Times New Roman" w:cs="Times New Roman"/>
          <w:i/>
          <w:iCs/>
          <w:sz w:val="26"/>
          <w:szCs w:val="26"/>
        </w:rPr>
        <w:t xml:space="preserve">Bảng 1: Biến động giá </w:t>
      </w:r>
      <w:r>
        <w:rPr>
          <w:rFonts w:ascii="Times New Roman" w:hAnsi="Times New Roman" w:cs="Times New Roman"/>
          <w:i/>
          <w:iCs/>
          <w:sz w:val="26"/>
          <w:szCs w:val="26"/>
        </w:rPr>
        <w:t>Thiếc</w:t>
      </w:r>
      <w:r w:rsidRPr="00570E87">
        <w:rPr>
          <w:rFonts w:ascii="Times New Roman" w:hAnsi="Times New Roman" w:cs="Times New Roman"/>
          <w:i/>
          <w:iCs/>
          <w:sz w:val="26"/>
          <w:szCs w:val="26"/>
        </w:rPr>
        <w:t xml:space="preserve"> từ tháng </w:t>
      </w:r>
      <w:r w:rsidR="00B12E7A">
        <w:rPr>
          <w:rFonts w:ascii="Times New Roman" w:hAnsi="Times New Roman" w:cs="Times New Roman"/>
          <w:i/>
          <w:iCs/>
          <w:sz w:val="26"/>
          <w:szCs w:val="26"/>
        </w:rPr>
        <w:t>12</w:t>
      </w:r>
      <w:r w:rsidR="00813A5A">
        <w:rPr>
          <w:rFonts w:ascii="Times New Roman" w:hAnsi="Times New Roman" w:cs="Times New Roman"/>
          <w:i/>
          <w:iCs/>
          <w:sz w:val="26"/>
          <w:szCs w:val="26"/>
        </w:rPr>
        <w:t>/2023</w:t>
      </w:r>
      <w:r w:rsidRPr="00570E87">
        <w:rPr>
          <w:rFonts w:ascii="Times New Roman" w:hAnsi="Times New Roman" w:cs="Times New Roman"/>
          <w:i/>
          <w:iCs/>
          <w:sz w:val="26"/>
          <w:szCs w:val="26"/>
        </w:rPr>
        <w:t xml:space="preserve"> đế</w:t>
      </w:r>
      <w:r w:rsidR="005E1294">
        <w:rPr>
          <w:rFonts w:ascii="Times New Roman" w:hAnsi="Times New Roman" w:cs="Times New Roman"/>
          <w:i/>
          <w:iCs/>
          <w:sz w:val="26"/>
          <w:szCs w:val="26"/>
        </w:rPr>
        <w:t>n tháng 10/</w:t>
      </w:r>
      <w:r w:rsidR="00813A5A">
        <w:rPr>
          <w:rFonts w:ascii="Times New Roman" w:hAnsi="Times New Roman" w:cs="Times New Roman"/>
          <w:i/>
          <w:iCs/>
          <w:sz w:val="26"/>
          <w:szCs w:val="26"/>
        </w:rPr>
        <w:t>2024</w:t>
      </w:r>
    </w:p>
    <w:tbl>
      <w:tblPr>
        <w:tblStyle w:val="TableGrid"/>
        <w:tblW w:w="8998" w:type="dxa"/>
        <w:jc w:val="center"/>
        <w:tblLook w:val="04A0" w:firstRow="1" w:lastRow="0" w:firstColumn="1" w:lastColumn="0" w:noHBand="0" w:noVBand="1"/>
      </w:tblPr>
      <w:tblGrid>
        <w:gridCol w:w="3083"/>
        <w:gridCol w:w="2976"/>
        <w:gridCol w:w="2939"/>
      </w:tblGrid>
      <w:tr w:rsidR="00FE0FA5" w:rsidRPr="009664C1" w14:paraId="2FD26E3B" w14:textId="77777777" w:rsidTr="002475BD">
        <w:trPr>
          <w:trHeight w:val="65"/>
          <w:tblHeader/>
          <w:jc w:val="center"/>
        </w:trPr>
        <w:tc>
          <w:tcPr>
            <w:tcW w:w="3083" w:type="dxa"/>
            <w:vAlign w:val="center"/>
          </w:tcPr>
          <w:p w14:paraId="771E19DC" w14:textId="77777777" w:rsidR="00FE0FA5" w:rsidRPr="00524E7C" w:rsidRDefault="00FE0FA5" w:rsidP="002475BD">
            <w:pPr>
              <w:spacing w:before="60" w:after="0" w:line="288" w:lineRule="auto"/>
              <w:jc w:val="center"/>
              <w:rPr>
                <w:rFonts w:ascii="Times New Roman" w:hAnsi="Times New Roman" w:cs="Times New Roman"/>
                <w:sz w:val="26"/>
                <w:szCs w:val="26"/>
              </w:rPr>
            </w:pPr>
            <w:r w:rsidRPr="00524E7C">
              <w:rPr>
                <w:rFonts w:ascii="Times New Roman" w:eastAsia="Times New Roman" w:hAnsi="Times New Roman" w:cs="Times New Roman"/>
                <w:b/>
                <w:bCs/>
                <w:color w:val="333333"/>
                <w:sz w:val="26"/>
                <w:szCs w:val="26"/>
              </w:rPr>
              <w:t>Thời gianTheo tháng</w:t>
            </w:r>
          </w:p>
        </w:tc>
        <w:tc>
          <w:tcPr>
            <w:tcW w:w="2976" w:type="dxa"/>
            <w:vAlign w:val="center"/>
          </w:tcPr>
          <w:p w14:paraId="58D3040F" w14:textId="77777777" w:rsidR="00FE0FA5" w:rsidRPr="00524E7C" w:rsidRDefault="00FE0FA5" w:rsidP="002475BD">
            <w:pPr>
              <w:spacing w:before="60" w:after="0" w:line="288" w:lineRule="auto"/>
              <w:jc w:val="center"/>
              <w:rPr>
                <w:rFonts w:ascii="Times New Roman" w:hAnsi="Times New Roman" w:cs="Times New Roman"/>
                <w:sz w:val="26"/>
                <w:szCs w:val="26"/>
              </w:rPr>
            </w:pPr>
            <w:r w:rsidRPr="00524E7C">
              <w:rPr>
                <w:rFonts w:ascii="Times New Roman" w:eastAsia="Times New Roman" w:hAnsi="Times New Roman" w:cs="Times New Roman"/>
                <w:b/>
                <w:bCs/>
                <w:color w:val="333333"/>
                <w:sz w:val="26"/>
                <w:szCs w:val="26"/>
              </w:rPr>
              <w:t>Đơn vị (USD /Tấn)</w:t>
            </w:r>
          </w:p>
        </w:tc>
        <w:tc>
          <w:tcPr>
            <w:tcW w:w="2939" w:type="dxa"/>
            <w:vAlign w:val="center"/>
          </w:tcPr>
          <w:p w14:paraId="324F85F2" w14:textId="77777777" w:rsidR="00FE0FA5" w:rsidRPr="00524E7C" w:rsidRDefault="00FE0FA5" w:rsidP="002475BD">
            <w:pPr>
              <w:spacing w:before="60" w:after="0" w:line="288" w:lineRule="auto"/>
              <w:jc w:val="center"/>
              <w:rPr>
                <w:rFonts w:ascii="Times New Roman" w:hAnsi="Times New Roman" w:cs="Times New Roman"/>
                <w:sz w:val="26"/>
                <w:szCs w:val="26"/>
              </w:rPr>
            </w:pPr>
            <w:r w:rsidRPr="00524E7C">
              <w:rPr>
                <w:rFonts w:ascii="Times New Roman" w:eastAsia="Times New Roman" w:hAnsi="Times New Roman" w:cs="Times New Roman"/>
                <w:b/>
                <w:bCs/>
                <w:color w:val="333333"/>
                <w:sz w:val="26"/>
                <w:szCs w:val="26"/>
              </w:rPr>
              <w:t>Giá tăng giảm % so với tháng trước</w:t>
            </w:r>
          </w:p>
        </w:tc>
      </w:tr>
      <w:tr w:rsidR="00FE0FA5" w:rsidRPr="009664C1" w14:paraId="77EA7DAE" w14:textId="77777777" w:rsidTr="005611D6">
        <w:trPr>
          <w:trHeight w:val="54"/>
          <w:jc w:val="center"/>
        </w:trPr>
        <w:tc>
          <w:tcPr>
            <w:tcW w:w="3083" w:type="dxa"/>
          </w:tcPr>
          <w:p w14:paraId="36DB94B1" w14:textId="77777777" w:rsidR="00FE0FA5" w:rsidRPr="009F671F" w:rsidRDefault="00FE0FA5" w:rsidP="005611D6">
            <w:pPr>
              <w:spacing w:before="60" w:after="0" w:line="288" w:lineRule="auto"/>
              <w:jc w:val="center"/>
              <w:rPr>
                <w:rFonts w:ascii="Times New Roman" w:hAnsi="Times New Roman" w:cs="Times New Roman"/>
                <w:sz w:val="24"/>
                <w:szCs w:val="24"/>
              </w:rPr>
            </w:pPr>
            <w:r w:rsidRPr="00FE0FA5">
              <w:rPr>
                <w:rFonts w:ascii="Times New Roman" w:hAnsi="Times New Roman" w:cs="Times New Roman"/>
                <w:sz w:val="24"/>
                <w:szCs w:val="24"/>
              </w:rPr>
              <w:t>10/2024</w:t>
            </w:r>
          </w:p>
        </w:tc>
        <w:tc>
          <w:tcPr>
            <w:tcW w:w="2976" w:type="dxa"/>
          </w:tcPr>
          <w:p w14:paraId="20E41A2D" w14:textId="77777777" w:rsidR="00FE0FA5" w:rsidRPr="009F671F" w:rsidRDefault="00FE0FA5" w:rsidP="005611D6">
            <w:pPr>
              <w:spacing w:before="60" w:after="0" w:line="288" w:lineRule="auto"/>
              <w:jc w:val="center"/>
              <w:rPr>
                <w:rFonts w:ascii="Times New Roman" w:hAnsi="Times New Roman" w:cs="Times New Roman"/>
                <w:sz w:val="24"/>
                <w:szCs w:val="24"/>
              </w:rPr>
            </w:pPr>
            <w:r w:rsidRPr="00FE0FA5">
              <w:rPr>
                <w:rFonts w:ascii="Times New Roman" w:hAnsi="Times New Roman" w:cs="Times New Roman"/>
                <w:sz w:val="24"/>
                <w:szCs w:val="24"/>
              </w:rPr>
              <w:t>32,445.00</w:t>
            </w:r>
          </w:p>
        </w:tc>
        <w:tc>
          <w:tcPr>
            <w:tcW w:w="2939" w:type="dxa"/>
          </w:tcPr>
          <w:p w14:paraId="69CCFBF3" w14:textId="77777777" w:rsidR="00FE0FA5" w:rsidRPr="009F671F" w:rsidRDefault="00FE0FA5" w:rsidP="005611D6">
            <w:pPr>
              <w:spacing w:before="60" w:after="0" w:line="288" w:lineRule="auto"/>
              <w:jc w:val="center"/>
              <w:rPr>
                <w:rFonts w:ascii="Times New Roman" w:hAnsi="Times New Roman" w:cs="Times New Roman"/>
                <w:sz w:val="24"/>
                <w:szCs w:val="24"/>
              </w:rPr>
            </w:pPr>
            <w:r w:rsidRPr="009F671F">
              <w:rPr>
                <w:rFonts w:ascii="Times New Roman" w:hAnsi="Times New Roman" w:cs="Times New Roman"/>
                <w:sz w:val="24"/>
                <w:szCs w:val="24"/>
              </w:rPr>
              <w:t>+0,31 %</w:t>
            </w:r>
          </w:p>
        </w:tc>
      </w:tr>
      <w:tr w:rsidR="00FE0FA5" w:rsidRPr="009664C1" w14:paraId="32AD44FB" w14:textId="77777777" w:rsidTr="005611D6">
        <w:trPr>
          <w:trHeight w:val="54"/>
          <w:jc w:val="center"/>
        </w:trPr>
        <w:tc>
          <w:tcPr>
            <w:tcW w:w="3083" w:type="dxa"/>
          </w:tcPr>
          <w:p w14:paraId="79E46555" w14:textId="77777777" w:rsidR="00FE0FA5" w:rsidRPr="009F671F" w:rsidRDefault="00FE0FA5" w:rsidP="005611D6">
            <w:pPr>
              <w:spacing w:before="60" w:after="0" w:line="288" w:lineRule="auto"/>
              <w:jc w:val="center"/>
              <w:rPr>
                <w:rFonts w:ascii="Times New Roman" w:hAnsi="Times New Roman" w:cs="Times New Roman"/>
                <w:sz w:val="24"/>
                <w:szCs w:val="24"/>
              </w:rPr>
            </w:pPr>
            <w:r w:rsidRPr="00FE0FA5">
              <w:rPr>
                <w:rFonts w:ascii="Times New Roman" w:hAnsi="Times New Roman" w:cs="Times New Roman"/>
                <w:sz w:val="24"/>
                <w:szCs w:val="24"/>
              </w:rPr>
              <w:t>09/2024</w:t>
            </w:r>
          </w:p>
        </w:tc>
        <w:tc>
          <w:tcPr>
            <w:tcW w:w="2976" w:type="dxa"/>
          </w:tcPr>
          <w:p w14:paraId="4A106816" w14:textId="77777777" w:rsidR="00FE0FA5" w:rsidRPr="009F671F" w:rsidRDefault="00FE0FA5" w:rsidP="005611D6">
            <w:pPr>
              <w:spacing w:before="60" w:after="0" w:line="288" w:lineRule="auto"/>
              <w:jc w:val="center"/>
              <w:rPr>
                <w:rFonts w:ascii="Times New Roman" w:hAnsi="Times New Roman" w:cs="Times New Roman"/>
                <w:sz w:val="24"/>
                <w:szCs w:val="24"/>
              </w:rPr>
            </w:pPr>
            <w:r w:rsidRPr="00FE0FA5">
              <w:rPr>
                <w:rFonts w:ascii="Times New Roman" w:hAnsi="Times New Roman" w:cs="Times New Roman"/>
                <w:sz w:val="24"/>
                <w:szCs w:val="24"/>
              </w:rPr>
              <w:t>32,345.00</w:t>
            </w:r>
          </w:p>
        </w:tc>
        <w:tc>
          <w:tcPr>
            <w:tcW w:w="2939" w:type="dxa"/>
          </w:tcPr>
          <w:p w14:paraId="7275F7B8" w14:textId="77777777" w:rsidR="00FE0FA5" w:rsidRPr="009F671F" w:rsidRDefault="00FE0FA5" w:rsidP="005611D6">
            <w:pPr>
              <w:spacing w:before="60" w:after="0" w:line="288" w:lineRule="auto"/>
              <w:jc w:val="center"/>
              <w:rPr>
                <w:rFonts w:ascii="Times New Roman" w:hAnsi="Times New Roman" w:cs="Times New Roman"/>
                <w:sz w:val="24"/>
                <w:szCs w:val="24"/>
              </w:rPr>
            </w:pPr>
            <w:r w:rsidRPr="009F671F">
              <w:rPr>
                <w:rFonts w:ascii="Times New Roman" w:hAnsi="Times New Roman" w:cs="Times New Roman"/>
                <w:sz w:val="24"/>
                <w:szCs w:val="24"/>
              </w:rPr>
              <w:t>+11,02 %</w:t>
            </w:r>
          </w:p>
        </w:tc>
      </w:tr>
      <w:tr w:rsidR="00FE0FA5" w:rsidRPr="009664C1" w14:paraId="7FB20ED8" w14:textId="77777777" w:rsidTr="005611D6">
        <w:trPr>
          <w:jc w:val="center"/>
        </w:trPr>
        <w:tc>
          <w:tcPr>
            <w:tcW w:w="3083" w:type="dxa"/>
          </w:tcPr>
          <w:p w14:paraId="3C3C23AE" w14:textId="77777777" w:rsidR="00FE0FA5" w:rsidRPr="009F671F" w:rsidRDefault="00FE0FA5" w:rsidP="005611D6">
            <w:pPr>
              <w:spacing w:before="60" w:after="0" w:line="288" w:lineRule="auto"/>
              <w:jc w:val="center"/>
              <w:rPr>
                <w:rFonts w:ascii="Times New Roman" w:hAnsi="Times New Roman" w:cs="Times New Roman"/>
                <w:sz w:val="24"/>
                <w:szCs w:val="24"/>
              </w:rPr>
            </w:pPr>
            <w:r w:rsidRPr="00FE0FA5">
              <w:rPr>
                <w:rFonts w:ascii="Times New Roman" w:hAnsi="Times New Roman" w:cs="Times New Roman"/>
                <w:sz w:val="24"/>
                <w:szCs w:val="24"/>
              </w:rPr>
              <w:t>08/2024</w:t>
            </w:r>
          </w:p>
        </w:tc>
        <w:tc>
          <w:tcPr>
            <w:tcW w:w="2976" w:type="dxa"/>
          </w:tcPr>
          <w:p w14:paraId="6A31A386" w14:textId="77777777" w:rsidR="00FE0FA5" w:rsidRPr="009F671F" w:rsidRDefault="00FE0FA5" w:rsidP="005611D6">
            <w:pPr>
              <w:spacing w:before="60" w:after="0" w:line="288" w:lineRule="auto"/>
              <w:jc w:val="center"/>
              <w:rPr>
                <w:rFonts w:ascii="Times New Roman" w:hAnsi="Times New Roman" w:cs="Times New Roman"/>
                <w:sz w:val="24"/>
                <w:szCs w:val="24"/>
              </w:rPr>
            </w:pPr>
            <w:r w:rsidRPr="00FE0FA5">
              <w:rPr>
                <w:rFonts w:ascii="Times New Roman" w:hAnsi="Times New Roman" w:cs="Times New Roman"/>
                <w:sz w:val="24"/>
                <w:szCs w:val="24"/>
              </w:rPr>
              <w:t>28,779.00</w:t>
            </w:r>
          </w:p>
        </w:tc>
        <w:tc>
          <w:tcPr>
            <w:tcW w:w="2939" w:type="dxa"/>
          </w:tcPr>
          <w:p w14:paraId="0D5B394E" w14:textId="77777777" w:rsidR="00FE0FA5" w:rsidRPr="009F671F" w:rsidRDefault="00FE0FA5" w:rsidP="005611D6">
            <w:pPr>
              <w:spacing w:before="60" w:after="0" w:line="288" w:lineRule="auto"/>
              <w:jc w:val="center"/>
              <w:rPr>
                <w:rFonts w:ascii="Times New Roman" w:hAnsi="Times New Roman" w:cs="Times New Roman"/>
                <w:sz w:val="24"/>
                <w:szCs w:val="24"/>
              </w:rPr>
            </w:pPr>
            <w:r w:rsidRPr="009F671F">
              <w:rPr>
                <w:rFonts w:ascii="Times New Roman" w:hAnsi="Times New Roman" w:cs="Times New Roman"/>
                <w:sz w:val="24"/>
                <w:szCs w:val="24"/>
              </w:rPr>
              <w:t>-13,76 %</w:t>
            </w:r>
          </w:p>
        </w:tc>
      </w:tr>
      <w:tr w:rsidR="00FE0FA5" w:rsidRPr="009664C1" w14:paraId="076FA633" w14:textId="77777777" w:rsidTr="005611D6">
        <w:trPr>
          <w:jc w:val="center"/>
        </w:trPr>
        <w:tc>
          <w:tcPr>
            <w:tcW w:w="3083" w:type="dxa"/>
          </w:tcPr>
          <w:p w14:paraId="6CF0666F" w14:textId="77777777" w:rsidR="00FE0FA5" w:rsidRPr="009F671F" w:rsidRDefault="00FE0FA5" w:rsidP="005611D6">
            <w:pPr>
              <w:spacing w:before="60" w:after="0" w:line="288" w:lineRule="auto"/>
              <w:jc w:val="center"/>
              <w:rPr>
                <w:rFonts w:ascii="Times New Roman" w:hAnsi="Times New Roman" w:cs="Times New Roman"/>
                <w:sz w:val="24"/>
                <w:szCs w:val="24"/>
              </w:rPr>
            </w:pPr>
            <w:r w:rsidRPr="00FE0FA5">
              <w:rPr>
                <w:rFonts w:ascii="Times New Roman" w:hAnsi="Times New Roman" w:cs="Times New Roman"/>
                <w:sz w:val="24"/>
                <w:szCs w:val="24"/>
              </w:rPr>
              <w:t>07/2024</w:t>
            </w:r>
          </w:p>
        </w:tc>
        <w:tc>
          <w:tcPr>
            <w:tcW w:w="2976" w:type="dxa"/>
          </w:tcPr>
          <w:p w14:paraId="5D9694CD" w14:textId="77777777" w:rsidR="00FE0FA5" w:rsidRPr="009F671F" w:rsidRDefault="00FE0FA5" w:rsidP="005611D6">
            <w:pPr>
              <w:spacing w:before="60" w:after="0" w:line="288" w:lineRule="auto"/>
              <w:jc w:val="center"/>
              <w:rPr>
                <w:rFonts w:ascii="Times New Roman" w:hAnsi="Times New Roman" w:cs="Times New Roman"/>
                <w:sz w:val="24"/>
                <w:szCs w:val="24"/>
              </w:rPr>
            </w:pPr>
            <w:r w:rsidRPr="00FE0FA5">
              <w:rPr>
                <w:rFonts w:ascii="Times New Roman" w:hAnsi="Times New Roman" w:cs="Times New Roman"/>
                <w:sz w:val="24"/>
                <w:szCs w:val="24"/>
              </w:rPr>
              <w:t>32,739.00</w:t>
            </w:r>
          </w:p>
        </w:tc>
        <w:tc>
          <w:tcPr>
            <w:tcW w:w="2939" w:type="dxa"/>
          </w:tcPr>
          <w:p w14:paraId="74D76CA3" w14:textId="77777777" w:rsidR="00FE0FA5" w:rsidRPr="009F671F" w:rsidRDefault="00FE0FA5" w:rsidP="005611D6">
            <w:pPr>
              <w:spacing w:before="60" w:after="0" w:line="288" w:lineRule="auto"/>
              <w:jc w:val="center"/>
              <w:rPr>
                <w:rFonts w:ascii="Times New Roman" w:hAnsi="Times New Roman" w:cs="Times New Roman"/>
                <w:sz w:val="24"/>
                <w:szCs w:val="24"/>
              </w:rPr>
            </w:pPr>
            <w:r w:rsidRPr="009F671F">
              <w:rPr>
                <w:rFonts w:ascii="Times New Roman" w:hAnsi="Times New Roman" w:cs="Times New Roman"/>
                <w:sz w:val="24"/>
                <w:szCs w:val="24"/>
              </w:rPr>
              <w:t>-1,14 %</w:t>
            </w:r>
          </w:p>
        </w:tc>
      </w:tr>
      <w:tr w:rsidR="00FE0FA5" w:rsidRPr="009664C1" w14:paraId="6D837F2F" w14:textId="77777777" w:rsidTr="005611D6">
        <w:trPr>
          <w:jc w:val="center"/>
        </w:trPr>
        <w:tc>
          <w:tcPr>
            <w:tcW w:w="3083" w:type="dxa"/>
          </w:tcPr>
          <w:p w14:paraId="6147A51A" w14:textId="77777777" w:rsidR="00FE0FA5" w:rsidRPr="009F671F" w:rsidRDefault="00FE0FA5" w:rsidP="005611D6">
            <w:pPr>
              <w:spacing w:before="60" w:after="0" w:line="288" w:lineRule="auto"/>
              <w:jc w:val="center"/>
              <w:rPr>
                <w:rFonts w:ascii="Times New Roman" w:hAnsi="Times New Roman" w:cs="Times New Roman"/>
                <w:sz w:val="24"/>
                <w:szCs w:val="24"/>
              </w:rPr>
            </w:pPr>
            <w:r w:rsidRPr="00FE0FA5">
              <w:rPr>
                <w:rFonts w:ascii="Times New Roman" w:hAnsi="Times New Roman" w:cs="Times New Roman"/>
                <w:sz w:val="24"/>
                <w:szCs w:val="24"/>
              </w:rPr>
              <w:t>06/2024</w:t>
            </w:r>
          </w:p>
        </w:tc>
        <w:tc>
          <w:tcPr>
            <w:tcW w:w="2976" w:type="dxa"/>
          </w:tcPr>
          <w:p w14:paraId="1495C797" w14:textId="77777777" w:rsidR="00FE0FA5" w:rsidRPr="009F671F" w:rsidRDefault="00FE0FA5" w:rsidP="005611D6">
            <w:pPr>
              <w:spacing w:before="60" w:after="0" w:line="288" w:lineRule="auto"/>
              <w:jc w:val="center"/>
              <w:rPr>
                <w:rFonts w:ascii="Times New Roman" w:hAnsi="Times New Roman" w:cs="Times New Roman"/>
                <w:sz w:val="24"/>
                <w:szCs w:val="24"/>
              </w:rPr>
            </w:pPr>
            <w:r w:rsidRPr="00FE0FA5">
              <w:rPr>
                <w:rFonts w:ascii="Times New Roman" w:hAnsi="Times New Roman" w:cs="Times New Roman"/>
                <w:sz w:val="24"/>
                <w:szCs w:val="24"/>
              </w:rPr>
              <w:t>33,111.00</w:t>
            </w:r>
          </w:p>
        </w:tc>
        <w:tc>
          <w:tcPr>
            <w:tcW w:w="2939" w:type="dxa"/>
          </w:tcPr>
          <w:p w14:paraId="5116A9F8" w14:textId="77777777" w:rsidR="00FE0FA5" w:rsidRPr="009F671F" w:rsidRDefault="00FE0FA5" w:rsidP="005611D6">
            <w:pPr>
              <w:spacing w:before="60" w:after="0" w:line="288" w:lineRule="auto"/>
              <w:jc w:val="center"/>
              <w:rPr>
                <w:rFonts w:ascii="Times New Roman" w:hAnsi="Times New Roman" w:cs="Times New Roman"/>
                <w:sz w:val="24"/>
                <w:szCs w:val="24"/>
              </w:rPr>
            </w:pPr>
            <w:r w:rsidRPr="009F671F">
              <w:rPr>
                <w:rFonts w:ascii="Times New Roman" w:hAnsi="Times New Roman" w:cs="Times New Roman"/>
                <w:sz w:val="24"/>
                <w:szCs w:val="24"/>
              </w:rPr>
              <w:t>+1,65 %</w:t>
            </w:r>
          </w:p>
        </w:tc>
      </w:tr>
      <w:tr w:rsidR="00FE0FA5" w:rsidRPr="009664C1" w14:paraId="0415694E" w14:textId="77777777" w:rsidTr="005611D6">
        <w:trPr>
          <w:jc w:val="center"/>
        </w:trPr>
        <w:tc>
          <w:tcPr>
            <w:tcW w:w="3083" w:type="dxa"/>
          </w:tcPr>
          <w:p w14:paraId="68B32416" w14:textId="77777777" w:rsidR="00FE0FA5" w:rsidRPr="009F671F" w:rsidRDefault="00FE0FA5" w:rsidP="005611D6">
            <w:pPr>
              <w:spacing w:before="60" w:after="0" w:line="288" w:lineRule="auto"/>
              <w:jc w:val="center"/>
              <w:rPr>
                <w:rFonts w:ascii="Times New Roman" w:hAnsi="Times New Roman" w:cs="Times New Roman"/>
                <w:sz w:val="24"/>
                <w:szCs w:val="24"/>
              </w:rPr>
            </w:pPr>
            <w:r w:rsidRPr="00FE0FA5">
              <w:rPr>
                <w:rFonts w:ascii="Times New Roman" w:hAnsi="Times New Roman" w:cs="Times New Roman"/>
                <w:sz w:val="24"/>
                <w:szCs w:val="24"/>
              </w:rPr>
              <w:t>05/2024</w:t>
            </w:r>
          </w:p>
        </w:tc>
        <w:tc>
          <w:tcPr>
            <w:tcW w:w="2976" w:type="dxa"/>
          </w:tcPr>
          <w:p w14:paraId="3B7C3D21" w14:textId="77777777" w:rsidR="00FE0FA5" w:rsidRPr="009F671F" w:rsidRDefault="00FE0FA5" w:rsidP="005611D6">
            <w:pPr>
              <w:spacing w:before="60" w:after="0" w:line="288" w:lineRule="auto"/>
              <w:jc w:val="center"/>
              <w:rPr>
                <w:rFonts w:ascii="Times New Roman" w:hAnsi="Times New Roman" w:cs="Times New Roman"/>
                <w:sz w:val="24"/>
                <w:szCs w:val="24"/>
              </w:rPr>
            </w:pPr>
            <w:r w:rsidRPr="00FE0FA5">
              <w:rPr>
                <w:rFonts w:ascii="Times New Roman" w:hAnsi="Times New Roman" w:cs="Times New Roman"/>
                <w:sz w:val="24"/>
                <w:szCs w:val="24"/>
              </w:rPr>
              <w:t>32,566.00</w:t>
            </w:r>
          </w:p>
        </w:tc>
        <w:tc>
          <w:tcPr>
            <w:tcW w:w="2939" w:type="dxa"/>
          </w:tcPr>
          <w:p w14:paraId="2841EC5D" w14:textId="77777777" w:rsidR="00FE0FA5" w:rsidRPr="009F671F" w:rsidRDefault="00FE0FA5" w:rsidP="005611D6">
            <w:pPr>
              <w:spacing w:before="60" w:after="0" w:line="288" w:lineRule="auto"/>
              <w:jc w:val="center"/>
              <w:rPr>
                <w:rFonts w:ascii="Times New Roman" w:hAnsi="Times New Roman" w:cs="Times New Roman"/>
                <w:sz w:val="24"/>
                <w:szCs w:val="24"/>
              </w:rPr>
            </w:pPr>
            <w:r w:rsidRPr="009F671F">
              <w:rPr>
                <w:rFonts w:ascii="Times New Roman" w:hAnsi="Times New Roman" w:cs="Times New Roman"/>
                <w:sz w:val="24"/>
                <w:szCs w:val="24"/>
              </w:rPr>
              <w:t>+15,71 %</w:t>
            </w:r>
          </w:p>
        </w:tc>
      </w:tr>
      <w:tr w:rsidR="00FE0FA5" w:rsidRPr="009664C1" w14:paraId="592BC4D7" w14:textId="77777777" w:rsidTr="005611D6">
        <w:trPr>
          <w:jc w:val="center"/>
        </w:trPr>
        <w:tc>
          <w:tcPr>
            <w:tcW w:w="3083" w:type="dxa"/>
          </w:tcPr>
          <w:p w14:paraId="44758DAF" w14:textId="77777777" w:rsidR="00FE0FA5" w:rsidRPr="009F671F" w:rsidRDefault="00FE0FA5" w:rsidP="005611D6">
            <w:pPr>
              <w:spacing w:before="60" w:after="0" w:line="288" w:lineRule="auto"/>
              <w:jc w:val="center"/>
              <w:rPr>
                <w:rFonts w:ascii="Times New Roman" w:eastAsia="Times New Roman" w:hAnsi="Times New Roman" w:cs="Times New Roman"/>
                <w:color w:val="333333"/>
                <w:sz w:val="24"/>
                <w:szCs w:val="24"/>
              </w:rPr>
            </w:pPr>
            <w:r w:rsidRPr="00FE0FA5">
              <w:rPr>
                <w:rFonts w:ascii="Times New Roman" w:hAnsi="Times New Roman" w:cs="Times New Roman"/>
                <w:sz w:val="24"/>
                <w:szCs w:val="24"/>
              </w:rPr>
              <w:t>04/2024</w:t>
            </w:r>
          </w:p>
        </w:tc>
        <w:tc>
          <w:tcPr>
            <w:tcW w:w="2976" w:type="dxa"/>
          </w:tcPr>
          <w:p w14:paraId="6CC93CD3" w14:textId="77777777" w:rsidR="00FE0FA5" w:rsidRPr="009F671F" w:rsidRDefault="00FE0FA5" w:rsidP="005611D6">
            <w:pPr>
              <w:spacing w:before="60" w:after="0" w:line="288" w:lineRule="auto"/>
              <w:jc w:val="center"/>
              <w:rPr>
                <w:rFonts w:ascii="Times New Roman" w:eastAsia="Times New Roman" w:hAnsi="Times New Roman" w:cs="Times New Roman"/>
                <w:color w:val="333333"/>
                <w:sz w:val="24"/>
                <w:szCs w:val="24"/>
              </w:rPr>
            </w:pPr>
            <w:r w:rsidRPr="00FE0FA5">
              <w:rPr>
                <w:rFonts w:ascii="Times New Roman" w:hAnsi="Times New Roman" w:cs="Times New Roman"/>
                <w:sz w:val="24"/>
                <w:szCs w:val="24"/>
              </w:rPr>
              <w:t>27,451.00</w:t>
            </w:r>
          </w:p>
        </w:tc>
        <w:tc>
          <w:tcPr>
            <w:tcW w:w="2939" w:type="dxa"/>
          </w:tcPr>
          <w:p w14:paraId="7F2F6B13" w14:textId="77777777" w:rsidR="00FE0FA5" w:rsidRPr="009F671F" w:rsidRDefault="00FE0FA5" w:rsidP="005611D6">
            <w:pPr>
              <w:spacing w:before="60" w:after="0" w:line="288" w:lineRule="auto"/>
              <w:jc w:val="center"/>
              <w:rPr>
                <w:rFonts w:ascii="Times New Roman" w:eastAsia="Times New Roman" w:hAnsi="Times New Roman" w:cs="Times New Roman"/>
                <w:color w:val="000000" w:themeColor="text1"/>
                <w:sz w:val="24"/>
                <w:szCs w:val="24"/>
              </w:rPr>
            </w:pPr>
            <w:r w:rsidRPr="009F671F">
              <w:rPr>
                <w:rFonts w:ascii="Times New Roman" w:hAnsi="Times New Roman" w:cs="Times New Roman"/>
                <w:sz w:val="24"/>
                <w:szCs w:val="24"/>
              </w:rPr>
              <w:t>+3,24 %</w:t>
            </w:r>
          </w:p>
        </w:tc>
      </w:tr>
      <w:tr w:rsidR="00FE0FA5" w:rsidRPr="009664C1" w14:paraId="0713CEAD" w14:textId="77777777" w:rsidTr="005611D6">
        <w:trPr>
          <w:jc w:val="center"/>
        </w:trPr>
        <w:tc>
          <w:tcPr>
            <w:tcW w:w="3083" w:type="dxa"/>
          </w:tcPr>
          <w:p w14:paraId="7F2B5F91" w14:textId="77777777" w:rsidR="00FE0FA5" w:rsidRPr="009F671F" w:rsidRDefault="00FE0FA5" w:rsidP="005611D6">
            <w:pPr>
              <w:spacing w:before="60" w:after="0" w:line="288" w:lineRule="auto"/>
              <w:jc w:val="center"/>
              <w:rPr>
                <w:rFonts w:ascii="Times New Roman" w:eastAsia="Times New Roman" w:hAnsi="Times New Roman" w:cs="Times New Roman"/>
                <w:color w:val="333333"/>
                <w:sz w:val="24"/>
                <w:szCs w:val="24"/>
              </w:rPr>
            </w:pPr>
            <w:r w:rsidRPr="00FE0FA5">
              <w:rPr>
                <w:rFonts w:ascii="Times New Roman" w:hAnsi="Times New Roman" w:cs="Times New Roman"/>
                <w:sz w:val="24"/>
                <w:szCs w:val="24"/>
              </w:rPr>
              <w:t>03/2024</w:t>
            </w:r>
          </w:p>
        </w:tc>
        <w:tc>
          <w:tcPr>
            <w:tcW w:w="2976" w:type="dxa"/>
          </w:tcPr>
          <w:p w14:paraId="3DFE3A5B" w14:textId="77777777" w:rsidR="00FE0FA5" w:rsidRPr="009F671F" w:rsidRDefault="00FE0FA5" w:rsidP="005611D6">
            <w:pPr>
              <w:spacing w:before="60" w:after="0" w:line="288" w:lineRule="auto"/>
              <w:jc w:val="center"/>
              <w:rPr>
                <w:rFonts w:ascii="Times New Roman" w:eastAsia="Times New Roman" w:hAnsi="Times New Roman" w:cs="Times New Roman"/>
                <w:color w:val="333333"/>
                <w:sz w:val="24"/>
                <w:szCs w:val="24"/>
              </w:rPr>
            </w:pPr>
            <w:r w:rsidRPr="00FE0FA5">
              <w:rPr>
                <w:rFonts w:ascii="Times New Roman" w:hAnsi="Times New Roman" w:cs="Times New Roman"/>
                <w:sz w:val="24"/>
                <w:szCs w:val="24"/>
              </w:rPr>
              <w:t>26,561.00</w:t>
            </w:r>
          </w:p>
        </w:tc>
        <w:tc>
          <w:tcPr>
            <w:tcW w:w="2939" w:type="dxa"/>
          </w:tcPr>
          <w:p w14:paraId="5D11987D" w14:textId="77777777" w:rsidR="00FE0FA5" w:rsidRPr="009F671F" w:rsidRDefault="00FE0FA5" w:rsidP="005611D6">
            <w:pPr>
              <w:spacing w:before="60" w:after="0" w:line="288" w:lineRule="auto"/>
              <w:jc w:val="center"/>
              <w:rPr>
                <w:rFonts w:ascii="Times New Roman" w:eastAsia="Times New Roman" w:hAnsi="Times New Roman" w:cs="Times New Roman"/>
                <w:color w:val="000000" w:themeColor="text1"/>
                <w:sz w:val="24"/>
                <w:szCs w:val="24"/>
              </w:rPr>
            </w:pPr>
            <w:r w:rsidRPr="009F671F">
              <w:rPr>
                <w:rFonts w:ascii="Times New Roman" w:hAnsi="Times New Roman" w:cs="Times New Roman"/>
                <w:sz w:val="24"/>
                <w:szCs w:val="24"/>
              </w:rPr>
              <w:t>+2,09 %</w:t>
            </w:r>
          </w:p>
        </w:tc>
      </w:tr>
      <w:tr w:rsidR="00FE0FA5" w:rsidRPr="009664C1" w14:paraId="25039BF6" w14:textId="77777777" w:rsidTr="005611D6">
        <w:trPr>
          <w:jc w:val="center"/>
        </w:trPr>
        <w:tc>
          <w:tcPr>
            <w:tcW w:w="3083" w:type="dxa"/>
          </w:tcPr>
          <w:p w14:paraId="1DEC7F78" w14:textId="77777777" w:rsidR="00FE0FA5" w:rsidRPr="009F671F" w:rsidRDefault="00FE0FA5" w:rsidP="005611D6">
            <w:pPr>
              <w:spacing w:before="60" w:after="0" w:line="288" w:lineRule="auto"/>
              <w:jc w:val="center"/>
              <w:rPr>
                <w:rFonts w:ascii="Times New Roman" w:eastAsia="Times New Roman" w:hAnsi="Times New Roman" w:cs="Times New Roman"/>
                <w:color w:val="333333"/>
                <w:sz w:val="24"/>
                <w:szCs w:val="24"/>
              </w:rPr>
            </w:pPr>
            <w:r w:rsidRPr="00FE0FA5">
              <w:rPr>
                <w:rFonts w:ascii="Times New Roman" w:hAnsi="Times New Roman" w:cs="Times New Roman"/>
                <w:sz w:val="24"/>
                <w:szCs w:val="24"/>
              </w:rPr>
              <w:t>02/2024</w:t>
            </w:r>
          </w:p>
        </w:tc>
        <w:tc>
          <w:tcPr>
            <w:tcW w:w="2976" w:type="dxa"/>
          </w:tcPr>
          <w:p w14:paraId="14E2D00D" w14:textId="77777777" w:rsidR="00FE0FA5" w:rsidRPr="009F671F" w:rsidRDefault="00FE0FA5" w:rsidP="005611D6">
            <w:pPr>
              <w:spacing w:before="60" w:after="0" w:line="288" w:lineRule="auto"/>
              <w:jc w:val="center"/>
              <w:rPr>
                <w:rFonts w:ascii="Times New Roman" w:eastAsia="Times New Roman" w:hAnsi="Times New Roman" w:cs="Times New Roman"/>
                <w:color w:val="333333"/>
                <w:sz w:val="24"/>
                <w:szCs w:val="24"/>
              </w:rPr>
            </w:pPr>
            <w:r w:rsidRPr="00FE0FA5">
              <w:rPr>
                <w:rFonts w:ascii="Times New Roman" w:hAnsi="Times New Roman" w:cs="Times New Roman"/>
                <w:sz w:val="24"/>
                <w:szCs w:val="24"/>
              </w:rPr>
              <w:t>26,005.00</w:t>
            </w:r>
          </w:p>
        </w:tc>
        <w:tc>
          <w:tcPr>
            <w:tcW w:w="2939" w:type="dxa"/>
          </w:tcPr>
          <w:p w14:paraId="5C5431B4" w14:textId="77777777" w:rsidR="00FE0FA5" w:rsidRPr="009F671F" w:rsidRDefault="00FE0FA5" w:rsidP="005611D6">
            <w:pPr>
              <w:spacing w:before="60" w:after="0" w:line="288" w:lineRule="auto"/>
              <w:jc w:val="center"/>
              <w:rPr>
                <w:rFonts w:ascii="Times New Roman" w:eastAsia="Times New Roman" w:hAnsi="Times New Roman" w:cs="Times New Roman"/>
                <w:color w:val="000000" w:themeColor="text1"/>
                <w:sz w:val="24"/>
                <w:szCs w:val="24"/>
              </w:rPr>
            </w:pPr>
            <w:r w:rsidRPr="009F671F">
              <w:rPr>
                <w:rFonts w:ascii="Times New Roman" w:hAnsi="Times New Roman" w:cs="Times New Roman"/>
                <w:sz w:val="24"/>
                <w:szCs w:val="24"/>
              </w:rPr>
              <w:t>+2,27 %</w:t>
            </w:r>
          </w:p>
        </w:tc>
      </w:tr>
      <w:tr w:rsidR="00FE0FA5" w:rsidRPr="009664C1" w14:paraId="00D1E7D6" w14:textId="77777777" w:rsidTr="005611D6">
        <w:trPr>
          <w:jc w:val="center"/>
        </w:trPr>
        <w:tc>
          <w:tcPr>
            <w:tcW w:w="3083" w:type="dxa"/>
          </w:tcPr>
          <w:p w14:paraId="1682F07B" w14:textId="77777777" w:rsidR="00FE0FA5" w:rsidRPr="009F671F" w:rsidRDefault="00FE0FA5" w:rsidP="005611D6">
            <w:pPr>
              <w:spacing w:before="60" w:after="0" w:line="288" w:lineRule="auto"/>
              <w:jc w:val="center"/>
              <w:rPr>
                <w:rFonts w:ascii="Times New Roman" w:eastAsia="Times New Roman" w:hAnsi="Times New Roman" w:cs="Times New Roman"/>
                <w:color w:val="333333"/>
                <w:sz w:val="24"/>
                <w:szCs w:val="24"/>
              </w:rPr>
            </w:pPr>
            <w:r w:rsidRPr="00FE0FA5">
              <w:rPr>
                <w:rFonts w:ascii="Times New Roman" w:hAnsi="Times New Roman" w:cs="Times New Roman"/>
                <w:sz w:val="24"/>
                <w:szCs w:val="24"/>
              </w:rPr>
              <w:t>01/2024</w:t>
            </w:r>
          </w:p>
        </w:tc>
        <w:tc>
          <w:tcPr>
            <w:tcW w:w="2976" w:type="dxa"/>
          </w:tcPr>
          <w:p w14:paraId="3850566E" w14:textId="77777777" w:rsidR="00FE0FA5" w:rsidRPr="009F671F" w:rsidRDefault="00FE0FA5" w:rsidP="005611D6">
            <w:pPr>
              <w:spacing w:before="60" w:after="0" w:line="288" w:lineRule="auto"/>
              <w:jc w:val="center"/>
              <w:rPr>
                <w:rFonts w:ascii="Times New Roman" w:eastAsia="Times New Roman" w:hAnsi="Times New Roman" w:cs="Times New Roman"/>
                <w:color w:val="333333"/>
                <w:sz w:val="24"/>
                <w:szCs w:val="24"/>
              </w:rPr>
            </w:pPr>
            <w:r w:rsidRPr="00FE0FA5">
              <w:rPr>
                <w:rFonts w:ascii="Times New Roman" w:hAnsi="Times New Roman" w:cs="Times New Roman"/>
                <w:sz w:val="24"/>
                <w:szCs w:val="24"/>
              </w:rPr>
              <w:t>25,415.00</w:t>
            </w:r>
          </w:p>
        </w:tc>
        <w:tc>
          <w:tcPr>
            <w:tcW w:w="2939" w:type="dxa"/>
          </w:tcPr>
          <w:p w14:paraId="7D109931" w14:textId="77777777" w:rsidR="00FE0FA5" w:rsidRPr="009F671F" w:rsidRDefault="00FE0FA5" w:rsidP="005611D6">
            <w:pPr>
              <w:spacing w:before="60" w:after="0" w:line="288" w:lineRule="auto"/>
              <w:jc w:val="center"/>
              <w:rPr>
                <w:rFonts w:ascii="Times New Roman" w:eastAsia="Times New Roman" w:hAnsi="Times New Roman" w:cs="Times New Roman"/>
                <w:color w:val="000000" w:themeColor="text1"/>
                <w:sz w:val="24"/>
                <w:szCs w:val="24"/>
              </w:rPr>
            </w:pPr>
            <w:r w:rsidRPr="009F671F">
              <w:rPr>
                <w:rFonts w:ascii="Times New Roman" w:hAnsi="Times New Roman" w:cs="Times New Roman"/>
                <w:sz w:val="24"/>
                <w:szCs w:val="24"/>
              </w:rPr>
              <w:t>+6,56 %</w:t>
            </w:r>
          </w:p>
        </w:tc>
      </w:tr>
      <w:tr w:rsidR="00FE0FA5" w:rsidRPr="009664C1" w14:paraId="33116334" w14:textId="77777777" w:rsidTr="005611D6">
        <w:trPr>
          <w:jc w:val="center"/>
        </w:trPr>
        <w:tc>
          <w:tcPr>
            <w:tcW w:w="3083" w:type="dxa"/>
          </w:tcPr>
          <w:p w14:paraId="0FB7B9F6" w14:textId="77777777" w:rsidR="00FE0FA5" w:rsidRPr="009F671F" w:rsidRDefault="00FE0FA5" w:rsidP="005611D6">
            <w:pPr>
              <w:spacing w:before="60" w:after="0" w:line="288" w:lineRule="auto"/>
              <w:jc w:val="center"/>
              <w:rPr>
                <w:rFonts w:ascii="Times New Roman" w:eastAsia="Times New Roman" w:hAnsi="Times New Roman" w:cs="Times New Roman"/>
                <w:color w:val="333333"/>
                <w:sz w:val="24"/>
                <w:szCs w:val="24"/>
              </w:rPr>
            </w:pPr>
            <w:r w:rsidRPr="009F671F">
              <w:rPr>
                <w:rFonts w:ascii="Times New Roman" w:hAnsi="Times New Roman" w:cs="Times New Roman"/>
                <w:sz w:val="24"/>
                <w:szCs w:val="24"/>
              </w:rPr>
              <w:t xml:space="preserve">  12/2023</w:t>
            </w:r>
          </w:p>
        </w:tc>
        <w:tc>
          <w:tcPr>
            <w:tcW w:w="2976" w:type="dxa"/>
          </w:tcPr>
          <w:p w14:paraId="1665D535" w14:textId="77777777" w:rsidR="00FE0FA5" w:rsidRPr="009F671F" w:rsidRDefault="00FE0FA5" w:rsidP="005611D6">
            <w:pPr>
              <w:spacing w:before="60" w:after="0" w:line="288" w:lineRule="auto"/>
              <w:jc w:val="center"/>
              <w:rPr>
                <w:rFonts w:ascii="Times New Roman" w:eastAsia="Times New Roman" w:hAnsi="Times New Roman" w:cs="Times New Roman"/>
                <w:color w:val="333333"/>
                <w:sz w:val="24"/>
                <w:szCs w:val="24"/>
              </w:rPr>
            </w:pPr>
            <w:r w:rsidRPr="009F671F">
              <w:rPr>
                <w:rFonts w:ascii="Times New Roman" w:hAnsi="Times New Roman" w:cs="Times New Roman"/>
                <w:sz w:val="24"/>
                <w:szCs w:val="24"/>
              </w:rPr>
              <w:t>23,748.00</w:t>
            </w:r>
          </w:p>
        </w:tc>
        <w:tc>
          <w:tcPr>
            <w:tcW w:w="2939" w:type="dxa"/>
          </w:tcPr>
          <w:p w14:paraId="5BB11221" w14:textId="77777777" w:rsidR="00FE0FA5" w:rsidRPr="009F671F" w:rsidRDefault="00FE0FA5" w:rsidP="005611D6">
            <w:pPr>
              <w:spacing w:before="60" w:after="0" w:line="288" w:lineRule="auto"/>
              <w:jc w:val="center"/>
              <w:rPr>
                <w:rFonts w:ascii="Times New Roman" w:eastAsia="Times New Roman" w:hAnsi="Times New Roman" w:cs="Times New Roman"/>
                <w:color w:val="000000" w:themeColor="text1"/>
                <w:sz w:val="24"/>
                <w:szCs w:val="24"/>
              </w:rPr>
            </w:pPr>
          </w:p>
        </w:tc>
      </w:tr>
    </w:tbl>
    <w:p w14:paraId="7FFFD06E" w14:textId="3D386E98" w:rsidR="004C117A" w:rsidRDefault="006D458F" w:rsidP="002475BD">
      <w:pPr>
        <w:pStyle w:val="NormalWeb"/>
        <w:shd w:val="clear" w:color="auto" w:fill="FFFFFF"/>
        <w:spacing w:before="0" w:beforeAutospacing="0" w:after="150" w:afterAutospacing="0"/>
        <w:ind w:left="142"/>
        <w:rPr>
          <w:bCs/>
          <w:iCs/>
          <w:sz w:val="26"/>
          <w:szCs w:val="26"/>
        </w:rPr>
      </w:pPr>
      <w:r>
        <w:rPr>
          <w:bCs/>
          <w:iCs/>
          <w:sz w:val="26"/>
          <w:szCs w:val="26"/>
        </w:rPr>
        <w:br w:type="textWrapping" w:clear="all"/>
      </w:r>
      <w:r w:rsidR="001F588A">
        <w:rPr>
          <w:bCs/>
          <w:iCs/>
          <w:sz w:val="26"/>
          <w:szCs w:val="26"/>
        </w:rPr>
        <w:t xml:space="preserve"> </w:t>
      </w:r>
      <w:r w:rsidR="001F588A">
        <w:rPr>
          <w:noProof/>
        </w:rPr>
        <w:drawing>
          <wp:inline distT="0" distB="0" distL="0" distR="0" wp14:anchorId="364B7068" wp14:editId="1A50B8F7">
            <wp:extent cx="5676183" cy="2495457"/>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684301" cy="2499026"/>
                    </a:xfrm>
                    <a:prstGeom prst="rect">
                      <a:avLst/>
                    </a:prstGeom>
                  </pic:spPr>
                </pic:pic>
              </a:graphicData>
            </a:graphic>
          </wp:inline>
        </w:drawing>
      </w:r>
      <w:r w:rsidR="00A93F1F">
        <w:rPr>
          <w:bCs/>
          <w:iCs/>
          <w:sz w:val="26"/>
          <w:szCs w:val="26"/>
        </w:rPr>
        <w:t xml:space="preserve"> </w:t>
      </w:r>
    </w:p>
    <w:p w14:paraId="436EB80D" w14:textId="196FCBFE" w:rsidR="00B12E7A" w:rsidRPr="00524E7C" w:rsidRDefault="00524E7C" w:rsidP="002475BD">
      <w:pPr>
        <w:shd w:val="clear" w:color="auto" w:fill="FFFFFF"/>
        <w:spacing w:before="75" w:after="150" w:line="288" w:lineRule="auto"/>
        <w:jc w:val="center"/>
        <w:outlineLvl w:val="1"/>
        <w:rPr>
          <w:rFonts w:ascii="Times New Roman" w:eastAsia="Times New Roman" w:hAnsi="Times New Roman" w:cs="Times New Roman"/>
          <w:bCs/>
          <w:i/>
          <w:iCs/>
          <w:sz w:val="26"/>
          <w:szCs w:val="26"/>
        </w:rPr>
      </w:pPr>
      <w:r w:rsidRPr="00524E7C">
        <w:rPr>
          <w:rFonts w:ascii="Times New Roman" w:eastAsia="Times New Roman" w:hAnsi="Times New Roman" w:cs="Times New Roman"/>
          <w:bCs/>
          <w:i/>
          <w:iCs/>
          <w:sz w:val="26"/>
          <w:szCs w:val="26"/>
        </w:rPr>
        <w:t>Hình. Biểu đồ biểu diễn biến động giá Thiếc từ 11/2023- 10/2024</w:t>
      </w:r>
    </w:p>
    <w:p w14:paraId="7658AA68" w14:textId="5DCEB033" w:rsidR="00D7523F" w:rsidRPr="00D40839" w:rsidRDefault="000134F8" w:rsidP="00C660DB">
      <w:pPr>
        <w:rPr>
          <w:rFonts w:ascii="Times New Roman" w:hAnsi="Times New Roman" w:cs="Times New Roman"/>
          <w:i/>
          <w:iCs/>
          <w:sz w:val="26"/>
          <w:szCs w:val="26"/>
        </w:rPr>
      </w:pPr>
      <w:r w:rsidRPr="000134F8">
        <w:rPr>
          <w:noProof/>
        </w:rPr>
        <w:t xml:space="preserve"> </w:t>
      </w:r>
      <w:r w:rsidR="002475BD">
        <w:rPr>
          <w:noProof/>
        </w:rPr>
        <w:tab/>
      </w:r>
      <w:r w:rsidR="005E1294" w:rsidRPr="00A61A80">
        <w:rPr>
          <w:rFonts w:ascii="Times New Roman" w:hAnsi="Times New Roman" w:cs="Times New Roman"/>
          <w:b/>
          <w:sz w:val="26"/>
          <w:szCs w:val="26"/>
        </w:rPr>
        <w:t>Dự báo giá thiế</w:t>
      </w:r>
      <w:r w:rsidR="00A93F1F">
        <w:rPr>
          <w:rFonts w:ascii="Times New Roman" w:hAnsi="Times New Roman" w:cs="Times New Roman"/>
          <w:b/>
          <w:sz w:val="26"/>
          <w:szCs w:val="26"/>
        </w:rPr>
        <w:t>c năm 2025</w:t>
      </w:r>
    </w:p>
    <w:p w14:paraId="3F79272B" w14:textId="77777777" w:rsidR="00A93F1F" w:rsidRDefault="00A93F1F" w:rsidP="002475BD">
      <w:pPr>
        <w:pStyle w:val="NormalWeb"/>
        <w:ind w:firstLine="720"/>
        <w:jc w:val="both"/>
      </w:pPr>
      <w:r>
        <w:t>Dự đoán giá thiếc trong năm 2025 có thể bị ảnh hưởng bởi nhiều yếu tố kinh tế và thị trường khác nhau. Một số yếu tố chính bao gồm:</w:t>
      </w:r>
    </w:p>
    <w:p w14:paraId="25E06D52" w14:textId="77777777" w:rsidR="00A93F1F" w:rsidRPr="001F588A" w:rsidRDefault="00A93F1F" w:rsidP="00A93F1F">
      <w:pPr>
        <w:pStyle w:val="NormalWeb"/>
        <w:numPr>
          <w:ilvl w:val="0"/>
          <w:numId w:val="4"/>
        </w:numPr>
        <w:rPr>
          <w:iCs/>
          <w:sz w:val="26"/>
          <w:szCs w:val="26"/>
        </w:rPr>
      </w:pPr>
      <w:bookmarkStart w:id="0" w:name="_GoBack"/>
      <w:r w:rsidRPr="001F588A">
        <w:rPr>
          <w:b/>
          <w:bCs/>
          <w:iCs/>
          <w:sz w:val="26"/>
          <w:szCs w:val="26"/>
        </w:rPr>
        <w:t>Xu hướng công nghệ:</w:t>
      </w:r>
    </w:p>
    <w:bookmarkEnd w:id="0"/>
    <w:p w14:paraId="2DCEAE51" w14:textId="77777777" w:rsidR="00A93F1F" w:rsidRPr="001F588A" w:rsidRDefault="00A93F1F" w:rsidP="00524E7C">
      <w:pPr>
        <w:numPr>
          <w:ilvl w:val="1"/>
          <w:numId w:val="4"/>
        </w:numPr>
        <w:spacing w:after="0" w:line="312" w:lineRule="auto"/>
        <w:jc w:val="both"/>
        <w:rPr>
          <w:rFonts w:ascii="Times New Roman" w:eastAsia="Times New Roman" w:hAnsi="Times New Roman" w:cs="Times New Roman"/>
          <w:iCs/>
          <w:sz w:val="26"/>
          <w:szCs w:val="26"/>
        </w:rPr>
      </w:pPr>
      <w:r w:rsidRPr="001F588A">
        <w:rPr>
          <w:rFonts w:ascii="Times New Roman" w:eastAsia="Times New Roman" w:hAnsi="Times New Roman" w:cs="Times New Roman"/>
          <w:b/>
          <w:bCs/>
          <w:iCs/>
          <w:sz w:val="26"/>
          <w:szCs w:val="26"/>
        </w:rPr>
        <w:lastRenderedPageBreak/>
        <w:t>Xu hướng phát triển năng lượng xanh</w:t>
      </w:r>
      <w:r w:rsidRPr="001F588A">
        <w:rPr>
          <w:rFonts w:ascii="Times New Roman" w:eastAsia="Times New Roman" w:hAnsi="Times New Roman" w:cs="Times New Roman"/>
          <w:iCs/>
          <w:sz w:val="26"/>
          <w:szCs w:val="26"/>
        </w:rPr>
        <w:t>: Nhu cầu sử dụng thiếc trong các sản phẩm liên quan đến năng lượng tái tạo và điện tử (như pin, tấm pin mặt trời, xe điện) sẽ tiếp tục thúc đẩy nhu cầu về thiếc.</w:t>
      </w:r>
    </w:p>
    <w:p w14:paraId="6D0236DC" w14:textId="77777777" w:rsidR="00A93F1F" w:rsidRPr="001F588A" w:rsidRDefault="00A93F1F" w:rsidP="00524E7C">
      <w:pPr>
        <w:numPr>
          <w:ilvl w:val="1"/>
          <w:numId w:val="4"/>
        </w:numPr>
        <w:spacing w:after="0" w:line="312" w:lineRule="auto"/>
        <w:jc w:val="both"/>
        <w:rPr>
          <w:rFonts w:ascii="Times New Roman" w:eastAsia="Times New Roman" w:hAnsi="Times New Roman" w:cs="Times New Roman"/>
          <w:iCs/>
          <w:sz w:val="26"/>
          <w:szCs w:val="26"/>
        </w:rPr>
      </w:pPr>
      <w:r w:rsidRPr="001F588A">
        <w:rPr>
          <w:rFonts w:ascii="Times New Roman" w:eastAsia="Times New Roman" w:hAnsi="Times New Roman" w:cs="Times New Roman"/>
          <w:b/>
          <w:bCs/>
          <w:iCs/>
          <w:sz w:val="26"/>
          <w:szCs w:val="26"/>
        </w:rPr>
        <w:t>Tiến bộ công nghệ trong tái chế</w:t>
      </w:r>
      <w:r w:rsidRPr="001F588A">
        <w:rPr>
          <w:rFonts w:ascii="Times New Roman" w:eastAsia="Times New Roman" w:hAnsi="Times New Roman" w:cs="Times New Roman"/>
          <w:iCs/>
          <w:sz w:val="26"/>
          <w:szCs w:val="26"/>
        </w:rPr>
        <w:t>: Công nghệ tái chế thiếc có thể giúp giảm bớt áp lực về nguồn cung mới, nhưng khả năng này có thể chỉ tác động trong trung hạn.</w:t>
      </w:r>
    </w:p>
    <w:p w14:paraId="08FF832C" w14:textId="77777777" w:rsidR="00A93F1F" w:rsidRPr="001F588A" w:rsidRDefault="00A93F1F" w:rsidP="00524E7C">
      <w:pPr>
        <w:pStyle w:val="NormalWeb"/>
        <w:numPr>
          <w:ilvl w:val="0"/>
          <w:numId w:val="4"/>
        </w:numPr>
        <w:spacing w:before="0" w:beforeAutospacing="0" w:after="0" w:afterAutospacing="0" w:line="312" w:lineRule="auto"/>
        <w:jc w:val="both"/>
        <w:rPr>
          <w:iCs/>
          <w:sz w:val="26"/>
          <w:szCs w:val="26"/>
        </w:rPr>
      </w:pPr>
      <w:r w:rsidRPr="001F588A">
        <w:rPr>
          <w:b/>
          <w:bCs/>
          <w:iCs/>
          <w:sz w:val="26"/>
          <w:szCs w:val="26"/>
        </w:rPr>
        <w:t>Chính sách kinh tế và biến động địa chính trị:</w:t>
      </w:r>
    </w:p>
    <w:p w14:paraId="4D57DC04" w14:textId="77777777" w:rsidR="00A93F1F" w:rsidRPr="001F588A" w:rsidRDefault="00A93F1F" w:rsidP="00524E7C">
      <w:pPr>
        <w:numPr>
          <w:ilvl w:val="1"/>
          <w:numId w:val="4"/>
        </w:numPr>
        <w:spacing w:after="0" w:line="312" w:lineRule="auto"/>
        <w:jc w:val="both"/>
        <w:rPr>
          <w:rFonts w:ascii="Times New Roman" w:eastAsia="Times New Roman" w:hAnsi="Times New Roman" w:cs="Times New Roman"/>
          <w:iCs/>
          <w:sz w:val="26"/>
          <w:szCs w:val="26"/>
        </w:rPr>
      </w:pPr>
      <w:r w:rsidRPr="001F588A">
        <w:rPr>
          <w:rFonts w:ascii="Times New Roman" w:eastAsia="Times New Roman" w:hAnsi="Times New Roman" w:cs="Times New Roman"/>
          <w:b/>
          <w:bCs/>
          <w:iCs/>
          <w:sz w:val="26"/>
          <w:szCs w:val="26"/>
        </w:rPr>
        <w:t>Chính sách thuế và quy định xuất khẩu</w:t>
      </w:r>
      <w:r w:rsidRPr="001F588A">
        <w:rPr>
          <w:rFonts w:ascii="Times New Roman" w:eastAsia="Times New Roman" w:hAnsi="Times New Roman" w:cs="Times New Roman"/>
          <w:iCs/>
          <w:sz w:val="26"/>
          <w:szCs w:val="26"/>
        </w:rPr>
        <w:t>: Những thay đổi về chính sách xuất khẩu thiếc từ các quốc gia lớn như Indonesia có thể ảnh hưởng mạnh đến giá cả. Nếu các quốc gia này áp đặt hạn chế xuất khẩu để tăng cường giá trị gia tăng từ việc chế biến trong nước, điều này có thể làm giảm nguồn cung thiếc toàn cầu và đẩy giá lên.</w:t>
      </w:r>
    </w:p>
    <w:p w14:paraId="3EA065A9" w14:textId="77777777" w:rsidR="00A93F1F" w:rsidRPr="001F588A" w:rsidRDefault="00A93F1F" w:rsidP="00524E7C">
      <w:pPr>
        <w:numPr>
          <w:ilvl w:val="1"/>
          <w:numId w:val="4"/>
        </w:numPr>
        <w:spacing w:after="0" w:line="312" w:lineRule="auto"/>
        <w:jc w:val="both"/>
        <w:rPr>
          <w:rFonts w:ascii="Times New Roman" w:eastAsia="Times New Roman" w:hAnsi="Times New Roman" w:cs="Times New Roman"/>
          <w:iCs/>
          <w:sz w:val="26"/>
          <w:szCs w:val="26"/>
        </w:rPr>
      </w:pPr>
      <w:r w:rsidRPr="001F588A">
        <w:rPr>
          <w:rFonts w:ascii="Times New Roman" w:eastAsia="Times New Roman" w:hAnsi="Times New Roman" w:cs="Times New Roman"/>
          <w:b/>
          <w:bCs/>
          <w:iCs/>
          <w:sz w:val="26"/>
          <w:szCs w:val="26"/>
        </w:rPr>
        <w:t>Bất ổn chính trị</w:t>
      </w:r>
      <w:r w:rsidRPr="001F588A">
        <w:rPr>
          <w:rFonts w:ascii="Times New Roman" w:eastAsia="Times New Roman" w:hAnsi="Times New Roman" w:cs="Times New Roman"/>
          <w:iCs/>
          <w:sz w:val="26"/>
          <w:szCs w:val="26"/>
        </w:rPr>
        <w:t>: Các sự kiện chính trị hoặc xung đột tại các khu vực khai thác thiếc lớn như Myanmar có thể làm gián đoạn nguồn cung, gây ra biến động giá.</w:t>
      </w:r>
    </w:p>
    <w:p w14:paraId="2A68E6ED" w14:textId="77777777" w:rsidR="00A93F1F" w:rsidRPr="001F588A" w:rsidRDefault="00A93F1F" w:rsidP="00524E7C">
      <w:pPr>
        <w:pStyle w:val="NormalWeb"/>
        <w:numPr>
          <w:ilvl w:val="0"/>
          <w:numId w:val="4"/>
        </w:numPr>
        <w:spacing w:before="0" w:beforeAutospacing="0" w:after="0" w:afterAutospacing="0" w:line="312" w:lineRule="auto"/>
        <w:jc w:val="both"/>
        <w:rPr>
          <w:iCs/>
          <w:sz w:val="26"/>
          <w:szCs w:val="26"/>
        </w:rPr>
      </w:pPr>
      <w:r w:rsidRPr="001F588A">
        <w:rPr>
          <w:b/>
          <w:bCs/>
          <w:iCs/>
          <w:sz w:val="26"/>
          <w:szCs w:val="26"/>
        </w:rPr>
        <w:t>Tình hình kinh tế toàn cầu:</w:t>
      </w:r>
    </w:p>
    <w:p w14:paraId="156FE678" w14:textId="77777777" w:rsidR="00A93F1F" w:rsidRPr="001F588A" w:rsidRDefault="00A93F1F" w:rsidP="00524E7C">
      <w:pPr>
        <w:numPr>
          <w:ilvl w:val="1"/>
          <w:numId w:val="4"/>
        </w:numPr>
        <w:spacing w:after="0" w:line="312" w:lineRule="auto"/>
        <w:jc w:val="both"/>
        <w:rPr>
          <w:rFonts w:ascii="Times New Roman" w:eastAsia="Times New Roman" w:hAnsi="Times New Roman" w:cs="Times New Roman"/>
          <w:iCs/>
          <w:sz w:val="26"/>
          <w:szCs w:val="26"/>
        </w:rPr>
      </w:pPr>
      <w:r w:rsidRPr="001F588A">
        <w:rPr>
          <w:rFonts w:ascii="Times New Roman" w:eastAsia="Times New Roman" w:hAnsi="Times New Roman" w:cs="Times New Roman"/>
          <w:b/>
          <w:bCs/>
          <w:iCs/>
          <w:sz w:val="26"/>
          <w:szCs w:val="26"/>
        </w:rPr>
        <w:t>Sự phục hồi kinh tế sau đại dịch</w:t>
      </w:r>
      <w:r w:rsidRPr="001F588A">
        <w:rPr>
          <w:rFonts w:ascii="Times New Roman" w:eastAsia="Times New Roman" w:hAnsi="Times New Roman" w:cs="Times New Roman"/>
          <w:iCs/>
          <w:sz w:val="26"/>
          <w:szCs w:val="26"/>
        </w:rPr>
        <w:t>: Nếu các nền kinh tế toàn cầu tiếp tục phục hồi sau đại dịch COVID-19, nhu cầu sử dụng kim loại, bao gồm thiếc, sẽ tăng, khiến giá có xu hướng tăng.</w:t>
      </w:r>
    </w:p>
    <w:p w14:paraId="00E9514E" w14:textId="77777777" w:rsidR="00A93F1F" w:rsidRPr="001F588A" w:rsidRDefault="00A93F1F" w:rsidP="00524E7C">
      <w:pPr>
        <w:numPr>
          <w:ilvl w:val="1"/>
          <w:numId w:val="4"/>
        </w:numPr>
        <w:spacing w:after="0" w:line="312" w:lineRule="auto"/>
        <w:jc w:val="both"/>
        <w:rPr>
          <w:rFonts w:ascii="Times New Roman" w:eastAsia="Times New Roman" w:hAnsi="Times New Roman" w:cs="Times New Roman"/>
          <w:iCs/>
          <w:sz w:val="26"/>
          <w:szCs w:val="26"/>
        </w:rPr>
      </w:pPr>
      <w:r w:rsidRPr="001F588A">
        <w:rPr>
          <w:rFonts w:ascii="Times New Roman" w:eastAsia="Times New Roman" w:hAnsi="Times New Roman" w:cs="Times New Roman"/>
          <w:b/>
          <w:bCs/>
          <w:iCs/>
          <w:sz w:val="26"/>
          <w:szCs w:val="26"/>
        </w:rPr>
        <w:t>Lạm phát và chính sách tiền tệ</w:t>
      </w:r>
      <w:r w:rsidRPr="001F588A">
        <w:rPr>
          <w:rFonts w:ascii="Times New Roman" w:eastAsia="Times New Roman" w:hAnsi="Times New Roman" w:cs="Times New Roman"/>
          <w:iCs/>
          <w:sz w:val="26"/>
          <w:szCs w:val="26"/>
        </w:rPr>
        <w:t>: Lạm phát toàn cầu và các chính sách tiền tệ, đặc biệt tại Mỹ và Trung Quốc, có thể ảnh hưởng đến giá cả hàng hóa. Nếu lãi suất tăng, điều này có thể làm giảm nhu cầu đầu cơ vào các kim loại công nghiệp như thiếc.</w:t>
      </w:r>
    </w:p>
    <w:p w14:paraId="11E0CA4C" w14:textId="77777777" w:rsidR="00A93F1F" w:rsidRDefault="00A93F1F" w:rsidP="00524E7C">
      <w:pPr>
        <w:pStyle w:val="Heading3"/>
        <w:spacing w:before="0"/>
      </w:pPr>
      <w:r>
        <w:t>Dự đoán cụ thể:</w:t>
      </w:r>
    </w:p>
    <w:p w14:paraId="77BD787C" w14:textId="77777777" w:rsidR="00A93F1F" w:rsidRDefault="00A93F1F" w:rsidP="00524E7C">
      <w:pPr>
        <w:pStyle w:val="NormalWeb"/>
        <w:spacing w:before="0" w:beforeAutospacing="0" w:after="0" w:afterAutospacing="0" w:line="312" w:lineRule="auto"/>
        <w:jc w:val="both"/>
      </w:pPr>
      <w:r>
        <w:t xml:space="preserve">Các nhà phân tích tài chính kỳ vọng rằng trong năm 2025, giá thiếc có thể dao động từ </w:t>
      </w:r>
      <w:r>
        <w:rPr>
          <w:rStyle w:val="Strong"/>
          <w:rFonts w:eastAsiaTheme="majorEastAsia"/>
        </w:rPr>
        <w:t>25.000 đến 35.000 USD/tấn</w:t>
      </w:r>
      <w:r>
        <w:t>, tùy thuộc vào sự phát triển của các yếu tố kể trên. Trong đó:</w:t>
      </w:r>
    </w:p>
    <w:p w14:paraId="3AC41F33" w14:textId="77777777" w:rsidR="00A93F1F" w:rsidRPr="00524E7C" w:rsidRDefault="00A93F1F" w:rsidP="00524E7C">
      <w:pPr>
        <w:numPr>
          <w:ilvl w:val="0"/>
          <w:numId w:val="5"/>
        </w:numPr>
        <w:spacing w:after="0" w:line="312" w:lineRule="auto"/>
        <w:jc w:val="both"/>
        <w:rPr>
          <w:rFonts w:ascii="Times New Roman" w:eastAsia="Times New Roman" w:hAnsi="Times New Roman" w:cs="Times New Roman"/>
          <w:iCs/>
          <w:sz w:val="26"/>
          <w:szCs w:val="26"/>
        </w:rPr>
      </w:pPr>
      <w:r w:rsidRPr="00524E7C">
        <w:rPr>
          <w:rFonts w:ascii="Times New Roman" w:eastAsia="Times New Roman" w:hAnsi="Times New Roman" w:cs="Times New Roman"/>
          <w:iCs/>
          <w:sz w:val="26"/>
          <w:szCs w:val="26"/>
        </w:rPr>
        <w:t>Nếu nguồn cung bị gián đoạn hoặc nhu cầu tăng mạnh từ các ngành công nghệ mới, giá có thể vượt qua ngưỡng 35.000 USD/tấn.</w:t>
      </w:r>
    </w:p>
    <w:p w14:paraId="441A4941" w14:textId="05B5D858" w:rsidR="00A93F1F" w:rsidRPr="00524E7C" w:rsidRDefault="00A93F1F" w:rsidP="00524E7C">
      <w:pPr>
        <w:numPr>
          <w:ilvl w:val="0"/>
          <w:numId w:val="5"/>
        </w:numPr>
        <w:spacing w:after="0" w:line="312" w:lineRule="auto"/>
        <w:jc w:val="both"/>
        <w:rPr>
          <w:rFonts w:ascii="Times New Roman" w:eastAsia="Times New Roman" w:hAnsi="Times New Roman" w:cs="Times New Roman"/>
          <w:iCs/>
          <w:sz w:val="26"/>
          <w:szCs w:val="26"/>
        </w:rPr>
      </w:pPr>
      <w:r w:rsidRPr="00524E7C">
        <w:rPr>
          <w:rFonts w:ascii="Times New Roman" w:eastAsia="Times New Roman" w:hAnsi="Times New Roman" w:cs="Times New Roman"/>
          <w:iCs/>
          <w:sz w:val="26"/>
          <w:szCs w:val="26"/>
        </w:rPr>
        <w:t>Nếu nền kinh tế toàn cầu chậm lại hoặc các công nghệ thay thế cho thiếc phát triển nhanh, giá có thể duy trì ở mức thấp hơn.</w:t>
      </w:r>
    </w:p>
    <w:p w14:paraId="7A40BDA5" w14:textId="19E93B5B" w:rsidR="002A4036" w:rsidRPr="00524E7C" w:rsidRDefault="002A4036" w:rsidP="00524E7C">
      <w:pPr>
        <w:spacing w:after="0" w:line="312" w:lineRule="auto"/>
        <w:ind w:firstLine="720"/>
        <w:jc w:val="both"/>
        <w:rPr>
          <w:rFonts w:ascii="Times New Roman" w:eastAsia="Times New Roman" w:hAnsi="Times New Roman" w:cs="Times New Roman"/>
          <w:iCs/>
          <w:sz w:val="26"/>
          <w:szCs w:val="26"/>
        </w:rPr>
      </w:pPr>
      <w:r w:rsidRPr="00524E7C">
        <w:rPr>
          <w:rFonts w:ascii="Times New Roman" w:eastAsia="Times New Roman" w:hAnsi="Times New Roman" w:cs="Times New Roman"/>
          <w:iCs/>
          <w:sz w:val="26"/>
          <w:szCs w:val="26"/>
        </w:rPr>
        <w:t>Theo kết quả thống kê giá Thiếc qua các năm, chúng tôi dự đoán giá thiếc theo phương pháp hằng số mũ</w:t>
      </w:r>
      <w:r w:rsidR="00524E7C">
        <w:rPr>
          <w:rFonts w:ascii="Times New Roman" w:eastAsia="Times New Roman" w:hAnsi="Times New Roman" w:cs="Times New Roman"/>
          <w:iCs/>
          <w:sz w:val="26"/>
          <w:szCs w:val="26"/>
        </w:rPr>
        <w:t xml:space="preserve">, </w:t>
      </w:r>
      <w:r w:rsidRPr="00524E7C">
        <w:rPr>
          <w:rFonts w:ascii="Times New Roman" w:eastAsia="Times New Roman" w:hAnsi="Times New Roman" w:cs="Times New Roman"/>
          <w:iCs/>
          <w:sz w:val="26"/>
          <w:szCs w:val="26"/>
        </w:rPr>
        <w:t>chúng tôi có thể dự đoán giá Thiếc</w:t>
      </w:r>
      <w:r w:rsidR="00524E7C">
        <w:rPr>
          <w:rFonts w:ascii="Times New Roman" w:eastAsia="Times New Roman" w:hAnsi="Times New Roman" w:cs="Times New Roman"/>
          <w:iCs/>
          <w:sz w:val="26"/>
          <w:szCs w:val="26"/>
        </w:rPr>
        <w:t xml:space="preserve"> năm 2025</w:t>
      </w:r>
      <w:r w:rsidRPr="00524E7C">
        <w:rPr>
          <w:rFonts w:ascii="Times New Roman" w:eastAsia="Times New Roman" w:hAnsi="Times New Roman" w:cs="Times New Roman"/>
          <w:iCs/>
          <w:sz w:val="26"/>
          <w:szCs w:val="26"/>
        </w:rPr>
        <w:t xml:space="preserve"> sẽ dao động trong khoảng </w:t>
      </w:r>
      <w:r w:rsidR="00524E7C">
        <w:rPr>
          <w:rFonts w:ascii="Times New Roman" w:eastAsia="Times New Roman" w:hAnsi="Times New Roman" w:cs="Times New Roman"/>
          <w:iCs/>
          <w:sz w:val="26"/>
          <w:szCs w:val="26"/>
        </w:rPr>
        <w:t>30.000-</w:t>
      </w:r>
      <w:r w:rsidRPr="00524E7C">
        <w:rPr>
          <w:rFonts w:ascii="Times New Roman" w:eastAsia="Times New Roman" w:hAnsi="Times New Roman" w:cs="Times New Roman"/>
          <w:iCs/>
          <w:sz w:val="26"/>
          <w:szCs w:val="26"/>
        </w:rPr>
        <w:t>36</w:t>
      </w:r>
      <w:r w:rsidR="00524E7C">
        <w:rPr>
          <w:rFonts w:ascii="Times New Roman" w:eastAsia="Times New Roman" w:hAnsi="Times New Roman" w:cs="Times New Roman"/>
          <w:iCs/>
          <w:sz w:val="26"/>
          <w:szCs w:val="26"/>
        </w:rPr>
        <w:t>.</w:t>
      </w:r>
      <w:r w:rsidRPr="00524E7C">
        <w:rPr>
          <w:rFonts w:ascii="Times New Roman" w:eastAsia="Times New Roman" w:hAnsi="Times New Roman" w:cs="Times New Roman"/>
          <w:iCs/>
          <w:sz w:val="26"/>
          <w:szCs w:val="26"/>
        </w:rPr>
        <w:t>000 USD/T</w:t>
      </w:r>
    </w:p>
    <w:p w14:paraId="6A8E6D63" w14:textId="7D92F252" w:rsidR="007D5148" w:rsidRPr="00D71DB7" w:rsidRDefault="007D5148" w:rsidP="000F59C6">
      <w:pPr>
        <w:shd w:val="clear" w:color="auto" w:fill="FFFFFF"/>
        <w:spacing w:before="75" w:after="150" w:line="288" w:lineRule="auto"/>
        <w:jc w:val="both"/>
        <w:outlineLvl w:val="1"/>
        <w:rPr>
          <w:rFonts w:ascii="Times New Roman" w:eastAsia="Times New Roman" w:hAnsi="Times New Roman" w:cs="Times New Roman"/>
          <w:b/>
          <w:iCs/>
          <w:sz w:val="26"/>
          <w:szCs w:val="26"/>
        </w:rPr>
      </w:pPr>
      <w:r w:rsidRPr="00D71DB7">
        <w:rPr>
          <w:rFonts w:ascii="Times New Roman" w:eastAsia="Times New Roman" w:hAnsi="Times New Roman" w:cs="Times New Roman"/>
          <w:b/>
          <w:iCs/>
          <w:sz w:val="26"/>
          <w:szCs w:val="26"/>
        </w:rPr>
        <w:t>TÀI LIỆU THAM KHẢO</w:t>
      </w:r>
    </w:p>
    <w:p w14:paraId="668937E3" w14:textId="5BB5FB4F" w:rsidR="007D5148" w:rsidRPr="009227E7" w:rsidRDefault="00C660DB" w:rsidP="009227E7">
      <w:pPr>
        <w:pStyle w:val="ListParagraph"/>
        <w:numPr>
          <w:ilvl w:val="0"/>
          <w:numId w:val="6"/>
        </w:numPr>
        <w:jc w:val="both"/>
        <w:rPr>
          <w:rStyle w:val="Hyperlink"/>
          <w:rFonts w:ascii="Times New Roman" w:hAnsi="Times New Roman" w:cs="Times New Roman"/>
          <w:i/>
          <w:iCs/>
          <w:sz w:val="26"/>
          <w:szCs w:val="26"/>
        </w:rPr>
      </w:pPr>
      <w:hyperlink r:id="rId6" w:history="1">
        <w:r w:rsidR="002B1413" w:rsidRPr="009227E7">
          <w:rPr>
            <w:rStyle w:val="Hyperlink"/>
            <w:rFonts w:ascii="Times New Roman" w:hAnsi="Times New Roman" w:cs="Times New Roman"/>
            <w:i/>
            <w:iCs/>
            <w:sz w:val="26"/>
            <w:szCs w:val="26"/>
          </w:rPr>
          <w:t>https://tradingeconomics.com/commodity/tin</w:t>
        </w:r>
      </w:hyperlink>
      <w:r w:rsidR="00956736" w:rsidRPr="009227E7">
        <w:rPr>
          <w:rStyle w:val="Hyperlink"/>
          <w:rFonts w:ascii="Times New Roman" w:hAnsi="Times New Roman" w:cs="Times New Roman"/>
          <w:i/>
          <w:iCs/>
          <w:sz w:val="26"/>
          <w:szCs w:val="26"/>
        </w:rPr>
        <w:t xml:space="preserve">, </w:t>
      </w:r>
    </w:p>
    <w:p w14:paraId="04C6DA6B" w14:textId="04619C3B" w:rsidR="009227E7" w:rsidRPr="009227E7" w:rsidRDefault="009227E7" w:rsidP="009227E7">
      <w:pPr>
        <w:pStyle w:val="ListParagraph"/>
        <w:numPr>
          <w:ilvl w:val="0"/>
          <w:numId w:val="6"/>
        </w:numPr>
        <w:jc w:val="both"/>
        <w:rPr>
          <w:rFonts w:ascii="Times New Roman" w:eastAsia="Times New Roman" w:hAnsi="Times New Roman" w:cs="Times New Roman"/>
          <w:iCs/>
          <w:sz w:val="26"/>
          <w:szCs w:val="26"/>
        </w:rPr>
      </w:pPr>
      <w:r w:rsidRPr="009227E7">
        <w:rPr>
          <w:rFonts w:ascii="Times New Roman" w:eastAsia="Times New Roman" w:hAnsi="Times New Roman" w:cs="Times New Roman"/>
          <w:iCs/>
          <w:sz w:val="26"/>
          <w:szCs w:val="26"/>
        </w:rPr>
        <w:t>Platts Metals Week</w:t>
      </w:r>
    </w:p>
    <w:sectPr w:rsidR="009227E7" w:rsidRPr="009227E7" w:rsidSect="009A418C">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870E6"/>
    <w:multiLevelType w:val="multilevel"/>
    <w:tmpl w:val="D276A9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5D211C"/>
    <w:multiLevelType w:val="hybridMultilevel"/>
    <w:tmpl w:val="12244ED0"/>
    <w:lvl w:ilvl="0" w:tplc="C2781E84">
      <w:start w:val="1"/>
      <w:numFmt w:val="decimal"/>
      <w:lvlText w:val="%1."/>
      <w:lvlJc w:val="left"/>
      <w:pPr>
        <w:ind w:left="720" w:hanging="360"/>
      </w:pPr>
      <w:rPr>
        <w:rFonts w:eastAsiaTheme="minorHAns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2610F6"/>
    <w:multiLevelType w:val="hybridMultilevel"/>
    <w:tmpl w:val="9B5477B2"/>
    <w:lvl w:ilvl="0" w:tplc="83ACEF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FD4801"/>
    <w:multiLevelType w:val="multilevel"/>
    <w:tmpl w:val="0A7C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09434D"/>
    <w:multiLevelType w:val="multilevel"/>
    <w:tmpl w:val="5B56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763FA0"/>
    <w:multiLevelType w:val="hybridMultilevel"/>
    <w:tmpl w:val="CCD6BF02"/>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32A"/>
    <w:rsid w:val="000134F8"/>
    <w:rsid w:val="00015A9E"/>
    <w:rsid w:val="000566D2"/>
    <w:rsid w:val="000A0792"/>
    <w:rsid w:val="000C5A7D"/>
    <w:rsid w:val="000C5C61"/>
    <w:rsid w:val="000F477E"/>
    <w:rsid w:val="000F59C6"/>
    <w:rsid w:val="00104B92"/>
    <w:rsid w:val="0014132A"/>
    <w:rsid w:val="0017007B"/>
    <w:rsid w:val="0018329F"/>
    <w:rsid w:val="001A1DC3"/>
    <w:rsid w:val="001C77E4"/>
    <w:rsid w:val="001E2403"/>
    <w:rsid w:val="001E2A8F"/>
    <w:rsid w:val="001F39A7"/>
    <w:rsid w:val="001F588A"/>
    <w:rsid w:val="00231653"/>
    <w:rsid w:val="002475BD"/>
    <w:rsid w:val="00253C63"/>
    <w:rsid w:val="002A4036"/>
    <w:rsid w:val="002B1413"/>
    <w:rsid w:val="002B315A"/>
    <w:rsid w:val="002F6C45"/>
    <w:rsid w:val="00313592"/>
    <w:rsid w:val="00383375"/>
    <w:rsid w:val="003E7249"/>
    <w:rsid w:val="00427047"/>
    <w:rsid w:val="004A1AAB"/>
    <w:rsid w:val="004C117A"/>
    <w:rsid w:val="00503FBC"/>
    <w:rsid w:val="005108F3"/>
    <w:rsid w:val="00524E7C"/>
    <w:rsid w:val="00537F60"/>
    <w:rsid w:val="00570E87"/>
    <w:rsid w:val="0057227D"/>
    <w:rsid w:val="00573121"/>
    <w:rsid w:val="00577C27"/>
    <w:rsid w:val="005D10B0"/>
    <w:rsid w:val="005E1294"/>
    <w:rsid w:val="00614645"/>
    <w:rsid w:val="006229AE"/>
    <w:rsid w:val="006511B7"/>
    <w:rsid w:val="00670051"/>
    <w:rsid w:val="006B0CAA"/>
    <w:rsid w:val="006D458F"/>
    <w:rsid w:val="00721425"/>
    <w:rsid w:val="00747237"/>
    <w:rsid w:val="007870FA"/>
    <w:rsid w:val="00796E37"/>
    <w:rsid w:val="007A1B5F"/>
    <w:rsid w:val="007A6958"/>
    <w:rsid w:val="007D5148"/>
    <w:rsid w:val="00813A5A"/>
    <w:rsid w:val="0083191B"/>
    <w:rsid w:val="008343A4"/>
    <w:rsid w:val="008675B4"/>
    <w:rsid w:val="00872B97"/>
    <w:rsid w:val="00877758"/>
    <w:rsid w:val="00886E62"/>
    <w:rsid w:val="009227E7"/>
    <w:rsid w:val="00950A8B"/>
    <w:rsid w:val="00955BCC"/>
    <w:rsid w:val="00956736"/>
    <w:rsid w:val="00963BD8"/>
    <w:rsid w:val="009664C1"/>
    <w:rsid w:val="009A418C"/>
    <w:rsid w:val="009C0ED0"/>
    <w:rsid w:val="009F671F"/>
    <w:rsid w:val="00A57B09"/>
    <w:rsid w:val="00A61A80"/>
    <w:rsid w:val="00A822A1"/>
    <w:rsid w:val="00A857CD"/>
    <w:rsid w:val="00A93F1F"/>
    <w:rsid w:val="00AC48C4"/>
    <w:rsid w:val="00AE2C9D"/>
    <w:rsid w:val="00B04804"/>
    <w:rsid w:val="00B07407"/>
    <w:rsid w:val="00B12E7A"/>
    <w:rsid w:val="00B53708"/>
    <w:rsid w:val="00B92D6D"/>
    <w:rsid w:val="00BA44A5"/>
    <w:rsid w:val="00BB3D30"/>
    <w:rsid w:val="00C660DB"/>
    <w:rsid w:val="00C76CB2"/>
    <w:rsid w:val="00C835C2"/>
    <w:rsid w:val="00CD54DF"/>
    <w:rsid w:val="00CE30B8"/>
    <w:rsid w:val="00CE3D00"/>
    <w:rsid w:val="00CE73EF"/>
    <w:rsid w:val="00D40839"/>
    <w:rsid w:val="00D71DB7"/>
    <w:rsid w:val="00D7523F"/>
    <w:rsid w:val="00D77071"/>
    <w:rsid w:val="00D80BF5"/>
    <w:rsid w:val="00D83317"/>
    <w:rsid w:val="00DC07EF"/>
    <w:rsid w:val="00DF1FF7"/>
    <w:rsid w:val="00E173BF"/>
    <w:rsid w:val="00E270FE"/>
    <w:rsid w:val="00E704D7"/>
    <w:rsid w:val="00EB60BB"/>
    <w:rsid w:val="00EC0DD2"/>
    <w:rsid w:val="00EF4083"/>
    <w:rsid w:val="00F120C1"/>
    <w:rsid w:val="00F1742D"/>
    <w:rsid w:val="00F42DFF"/>
    <w:rsid w:val="00F75F5C"/>
    <w:rsid w:val="00FB1304"/>
    <w:rsid w:val="00FB5CFD"/>
    <w:rsid w:val="00FC6817"/>
    <w:rsid w:val="00FE0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BAB7D"/>
  <w15:docId w15:val="{D09B2459-3C03-48FA-B77E-39919F0C4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2A"/>
    <w:pPr>
      <w:spacing w:before="0" w:after="160" w:line="259" w:lineRule="auto"/>
      <w:jc w:val="left"/>
    </w:p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CE30B8"/>
    <w:pPr>
      <w:keepNext/>
      <w:keepLines/>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614645"/>
    <w:pPr>
      <w:keepNext/>
      <w:keepLines/>
      <w:shd w:val="clear" w:color="auto" w:fill="FFFFFF"/>
      <w:spacing w:before="120" w:after="0" w:line="312" w:lineRule="auto"/>
      <w:jc w:val="both"/>
      <w:outlineLvl w:val="2"/>
    </w:pPr>
    <w:rPr>
      <w:rFonts w:ascii="Times New Roman" w:eastAsiaTheme="majorEastAsia" w:hAnsi="Times New Roman" w:cs="Times New Roman"/>
      <w:b/>
      <w:i/>
      <w:color w:val="000000" w:themeColor="text1"/>
      <w:sz w:val="26"/>
      <w:szCs w:val="26"/>
    </w:rPr>
  </w:style>
  <w:style w:type="paragraph" w:styleId="Heading4">
    <w:name w:val="heading 4"/>
    <w:basedOn w:val="Normal"/>
    <w:next w:val="Normal"/>
    <w:link w:val="Heading4Char"/>
    <w:autoRedefine/>
    <w:uiPriority w:val="9"/>
    <w:semiHidden/>
    <w:unhideWhenUsed/>
    <w:qFormat/>
    <w:rsid w:val="00CE30B8"/>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614645"/>
    <w:rPr>
      <w:rFonts w:ascii="Times New Roman" w:eastAsiaTheme="majorEastAsia" w:hAnsi="Times New Roman" w:cs="Times New Roman"/>
      <w:b/>
      <w:i/>
      <w:color w:val="000000" w:themeColor="text1"/>
      <w:sz w:val="26"/>
      <w:szCs w:val="26"/>
      <w:shd w:val="clear" w:color="auto" w:fill="FFFFFF"/>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ListParagraph">
    <w:name w:val="List Paragraph"/>
    <w:basedOn w:val="Normal"/>
    <w:uiPriority w:val="34"/>
    <w:qFormat/>
    <w:rsid w:val="006229AE"/>
    <w:pPr>
      <w:ind w:left="720"/>
      <w:contextualSpacing/>
    </w:pPr>
  </w:style>
  <w:style w:type="paragraph" w:styleId="NormalWeb">
    <w:name w:val="Normal (Web)"/>
    <w:basedOn w:val="Normal"/>
    <w:uiPriority w:val="99"/>
    <w:unhideWhenUsed/>
    <w:rsid w:val="006229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29AE"/>
    <w:rPr>
      <w:b/>
      <w:bCs/>
    </w:rPr>
  </w:style>
  <w:style w:type="table" w:styleId="TableGrid">
    <w:name w:val="Table Grid"/>
    <w:basedOn w:val="TableNormal"/>
    <w:uiPriority w:val="39"/>
    <w:rsid w:val="00CE3D00"/>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uccess">
    <w:name w:val="text-success"/>
    <w:basedOn w:val="DefaultParagraphFont"/>
    <w:rsid w:val="000F59C6"/>
  </w:style>
  <w:style w:type="character" w:customStyle="1" w:styleId="text-danger">
    <w:name w:val="text-danger"/>
    <w:basedOn w:val="DefaultParagraphFont"/>
    <w:rsid w:val="000F59C6"/>
  </w:style>
  <w:style w:type="character" w:styleId="Hyperlink">
    <w:name w:val="Hyperlink"/>
    <w:basedOn w:val="DefaultParagraphFont"/>
    <w:uiPriority w:val="99"/>
    <w:unhideWhenUsed/>
    <w:rsid w:val="00955BCC"/>
    <w:rPr>
      <w:color w:val="0563C1" w:themeColor="hyperlink"/>
      <w:u w:val="single"/>
    </w:rPr>
  </w:style>
  <w:style w:type="character" w:customStyle="1" w:styleId="UnresolvedMention">
    <w:name w:val="Unresolved Mention"/>
    <w:basedOn w:val="DefaultParagraphFont"/>
    <w:uiPriority w:val="99"/>
    <w:semiHidden/>
    <w:unhideWhenUsed/>
    <w:rsid w:val="00955BCC"/>
    <w:rPr>
      <w:color w:val="605E5C"/>
      <w:shd w:val="clear" w:color="auto" w:fill="E1DFDD"/>
    </w:rPr>
  </w:style>
  <w:style w:type="character" w:customStyle="1" w:styleId="font-arial">
    <w:name w:val="font-arial"/>
    <w:basedOn w:val="DefaultParagraphFont"/>
    <w:rsid w:val="00D83317"/>
  </w:style>
  <w:style w:type="paragraph" w:styleId="Caption">
    <w:name w:val="caption"/>
    <w:basedOn w:val="Normal"/>
    <w:next w:val="Normal"/>
    <w:unhideWhenUsed/>
    <w:qFormat/>
    <w:rsid w:val="00A61A80"/>
    <w:pPr>
      <w:spacing w:before="60" w:after="60" w:line="288" w:lineRule="auto"/>
      <w:jc w:val="center"/>
    </w:pPr>
    <w:rPr>
      <w:rFonts w:ascii="Times New Roman" w:eastAsia="Times New Roman" w:hAnsi="Times New Roman" w:cs="Times New Roman"/>
      <w:b/>
      <w:bCs/>
      <w:sz w:val="24"/>
      <w:szCs w:val="18"/>
    </w:rPr>
  </w:style>
  <w:style w:type="paragraph" w:styleId="NoSpacing">
    <w:name w:val="No Spacing"/>
    <w:aliases w:val="BTHUONG"/>
    <w:uiPriority w:val="1"/>
    <w:qFormat/>
    <w:rsid w:val="00A61A80"/>
    <w:pPr>
      <w:spacing w:after="120"/>
      <w:ind w:firstLine="720"/>
    </w:pPr>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A85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7CD"/>
    <w:rPr>
      <w:rFonts w:ascii="Tahoma" w:hAnsi="Tahoma" w:cs="Tahoma"/>
      <w:sz w:val="16"/>
      <w:szCs w:val="16"/>
    </w:rPr>
  </w:style>
  <w:style w:type="paragraph" w:styleId="HTMLPreformatted">
    <w:name w:val="HTML Preformatted"/>
    <w:basedOn w:val="Normal"/>
    <w:link w:val="HTMLPreformattedChar"/>
    <w:uiPriority w:val="99"/>
    <w:semiHidden/>
    <w:unhideWhenUsed/>
    <w:rsid w:val="0025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53C63"/>
    <w:rPr>
      <w:rFonts w:ascii="Courier New" w:eastAsia="Times New Roman" w:hAnsi="Courier New" w:cs="Courier New"/>
      <w:sz w:val="20"/>
      <w:szCs w:val="20"/>
    </w:rPr>
  </w:style>
  <w:style w:type="character" w:customStyle="1" w:styleId="y2iqfc">
    <w:name w:val="y2iqfc"/>
    <w:basedOn w:val="DefaultParagraphFont"/>
    <w:rsid w:val="00253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8370">
      <w:bodyDiv w:val="1"/>
      <w:marLeft w:val="0"/>
      <w:marRight w:val="0"/>
      <w:marTop w:val="0"/>
      <w:marBottom w:val="0"/>
      <w:divBdr>
        <w:top w:val="none" w:sz="0" w:space="0" w:color="auto"/>
        <w:left w:val="none" w:sz="0" w:space="0" w:color="auto"/>
        <w:bottom w:val="none" w:sz="0" w:space="0" w:color="auto"/>
        <w:right w:val="none" w:sz="0" w:space="0" w:color="auto"/>
      </w:divBdr>
    </w:div>
    <w:div w:id="152184078">
      <w:bodyDiv w:val="1"/>
      <w:marLeft w:val="0"/>
      <w:marRight w:val="0"/>
      <w:marTop w:val="0"/>
      <w:marBottom w:val="0"/>
      <w:divBdr>
        <w:top w:val="none" w:sz="0" w:space="0" w:color="auto"/>
        <w:left w:val="none" w:sz="0" w:space="0" w:color="auto"/>
        <w:bottom w:val="none" w:sz="0" w:space="0" w:color="auto"/>
        <w:right w:val="none" w:sz="0" w:space="0" w:color="auto"/>
      </w:divBdr>
    </w:div>
    <w:div w:id="173687955">
      <w:bodyDiv w:val="1"/>
      <w:marLeft w:val="0"/>
      <w:marRight w:val="0"/>
      <w:marTop w:val="0"/>
      <w:marBottom w:val="0"/>
      <w:divBdr>
        <w:top w:val="none" w:sz="0" w:space="0" w:color="auto"/>
        <w:left w:val="none" w:sz="0" w:space="0" w:color="auto"/>
        <w:bottom w:val="none" w:sz="0" w:space="0" w:color="auto"/>
        <w:right w:val="none" w:sz="0" w:space="0" w:color="auto"/>
      </w:divBdr>
    </w:div>
    <w:div w:id="220019160">
      <w:bodyDiv w:val="1"/>
      <w:marLeft w:val="0"/>
      <w:marRight w:val="0"/>
      <w:marTop w:val="0"/>
      <w:marBottom w:val="0"/>
      <w:divBdr>
        <w:top w:val="none" w:sz="0" w:space="0" w:color="auto"/>
        <w:left w:val="none" w:sz="0" w:space="0" w:color="auto"/>
        <w:bottom w:val="none" w:sz="0" w:space="0" w:color="auto"/>
        <w:right w:val="none" w:sz="0" w:space="0" w:color="auto"/>
      </w:divBdr>
    </w:div>
    <w:div w:id="232157960">
      <w:bodyDiv w:val="1"/>
      <w:marLeft w:val="0"/>
      <w:marRight w:val="0"/>
      <w:marTop w:val="0"/>
      <w:marBottom w:val="0"/>
      <w:divBdr>
        <w:top w:val="none" w:sz="0" w:space="0" w:color="auto"/>
        <w:left w:val="none" w:sz="0" w:space="0" w:color="auto"/>
        <w:bottom w:val="none" w:sz="0" w:space="0" w:color="auto"/>
        <w:right w:val="none" w:sz="0" w:space="0" w:color="auto"/>
      </w:divBdr>
    </w:div>
    <w:div w:id="285552692">
      <w:bodyDiv w:val="1"/>
      <w:marLeft w:val="0"/>
      <w:marRight w:val="0"/>
      <w:marTop w:val="0"/>
      <w:marBottom w:val="0"/>
      <w:divBdr>
        <w:top w:val="none" w:sz="0" w:space="0" w:color="auto"/>
        <w:left w:val="none" w:sz="0" w:space="0" w:color="auto"/>
        <w:bottom w:val="none" w:sz="0" w:space="0" w:color="auto"/>
        <w:right w:val="none" w:sz="0" w:space="0" w:color="auto"/>
      </w:divBdr>
    </w:div>
    <w:div w:id="496960240">
      <w:bodyDiv w:val="1"/>
      <w:marLeft w:val="0"/>
      <w:marRight w:val="0"/>
      <w:marTop w:val="0"/>
      <w:marBottom w:val="0"/>
      <w:divBdr>
        <w:top w:val="none" w:sz="0" w:space="0" w:color="auto"/>
        <w:left w:val="none" w:sz="0" w:space="0" w:color="auto"/>
        <w:bottom w:val="none" w:sz="0" w:space="0" w:color="auto"/>
        <w:right w:val="none" w:sz="0" w:space="0" w:color="auto"/>
      </w:divBdr>
    </w:div>
    <w:div w:id="656425718">
      <w:bodyDiv w:val="1"/>
      <w:marLeft w:val="0"/>
      <w:marRight w:val="0"/>
      <w:marTop w:val="0"/>
      <w:marBottom w:val="0"/>
      <w:divBdr>
        <w:top w:val="none" w:sz="0" w:space="0" w:color="auto"/>
        <w:left w:val="none" w:sz="0" w:space="0" w:color="auto"/>
        <w:bottom w:val="none" w:sz="0" w:space="0" w:color="auto"/>
        <w:right w:val="none" w:sz="0" w:space="0" w:color="auto"/>
      </w:divBdr>
    </w:div>
    <w:div w:id="804196656">
      <w:bodyDiv w:val="1"/>
      <w:marLeft w:val="0"/>
      <w:marRight w:val="0"/>
      <w:marTop w:val="0"/>
      <w:marBottom w:val="0"/>
      <w:divBdr>
        <w:top w:val="none" w:sz="0" w:space="0" w:color="auto"/>
        <w:left w:val="none" w:sz="0" w:space="0" w:color="auto"/>
        <w:bottom w:val="none" w:sz="0" w:space="0" w:color="auto"/>
        <w:right w:val="none" w:sz="0" w:space="0" w:color="auto"/>
      </w:divBdr>
    </w:div>
    <w:div w:id="909464728">
      <w:bodyDiv w:val="1"/>
      <w:marLeft w:val="0"/>
      <w:marRight w:val="0"/>
      <w:marTop w:val="0"/>
      <w:marBottom w:val="0"/>
      <w:divBdr>
        <w:top w:val="none" w:sz="0" w:space="0" w:color="auto"/>
        <w:left w:val="none" w:sz="0" w:space="0" w:color="auto"/>
        <w:bottom w:val="none" w:sz="0" w:space="0" w:color="auto"/>
        <w:right w:val="none" w:sz="0" w:space="0" w:color="auto"/>
      </w:divBdr>
    </w:div>
    <w:div w:id="968314406">
      <w:bodyDiv w:val="1"/>
      <w:marLeft w:val="0"/>
      <w:marRight w:val="0"/>
      <w:marTop w:val="0"/>
      <w:marBottom w:val="0"/>
      <w:divBdr>
        <w:top w:val="none" w:sz="0" w:space="0" w:color="auto"/>
        <w:left w:val="none" w:sz="0" w:space="0" w:color="auto"/>
        <w:bottom w:val="none" w:sz="0" w:space="0" w:color="auto"/>
        <w:right w:val="none" w:sz="0" w:space="0" w:color="auto"/>
      </w:divBdr>
    </w:div>
    <w:div w:id="974288039">
      <w:bodyDiv w:val="1"/>
      <w:marLeft w:val="0"/>
      <w:marRight w:val="0"/>
      <w:marTop w:val="0"/>
      <w:marBottom w:val="0"/>
      <w:divBdr>
        <w:top w:val="none" w:sz="0" w:space="0" w:color="auto"/>
        <w:left w:val="none" w:sz="0" w:space="0" w:color="auto"/>
        <w:bottom w:val="none" w:sz="0" w:space="0" w:color="auto"/>
        <w:right w:val="none" w:sz="0" w:space="0" w:color="auto"/>
      </w:divBdr>
    </w:div>
    <w:div w:id="1060396646">
      <w:bodyDiv w:val="1"/>
      <w:marLeft w:val="0"/>
      <w:marRight w:val="0"/>
      <w:marTop w:val="0"/>
      <w:marBottom w:val="0"/>
      <w:divBdr>
        <w:top w:val="none" w:sz="0" w:space="0" w:color="auto"/>
        <w:left w:val="none" w:sz="0" w:space="0" w:color="auto"/>
        <w:bottom w:val="none" w:sz="0" w:space="0" w:color="auto"/>
        <w:right w:val="none" w:sz="0" w:space="0" w:color="auto"/>
      </w:divBdr>
    </w:div>
    <w:div w:id="1093473932">
      <w:bodyDiv w:val="1"/>
      <w:marLeft w:val="0"/>
      <w:marRight w:val="0"/>
      <w:marTop w:val="0"/>
      <w:marBottom w:val="0"/>
      <w:divBdr>
        <w:top w:val="none" w:sz="0" w:space="0" w:color="auto"/>
        <w:left w:val="none" w:sz="0" w:space="0" w:color="auto"/>
        <w:bottom w:val="none" w:sz="0" w:space="0" w:color="auto"/>
        <w:right w:val="none" w:sz="0" w:space="0" w:color="auto"/>
      </w:divBdr>
    </w:div>
    <w:div w:id="1118336128">
      <w:bodyDiv w:val="1"/>
      <w:marLeft w:val="0"/>
      <w:marRight w:val="0"/>
      <w:marTop w:val="0"/>
      <w:marBottom w:val="0"/>
      <w:divBdr>
        <w:top w:val="none" w:sz="0" w:space="0" w:color="auto"/>
        <w:left w:val="none" w:sz="0" w:space="0" w:color="auto"/>
        <w:bottom w:val="none" w:sz="0" w:space="0" w:color="auto"/>
        <w:right w:val="none" w:sz="0" w:space="0" w:color="auto"/>
      </w:divBdr>
    </w:div>
    <w:div w:id="1124081129">
      <w:bodyDiv w:val="1"/>
      <w:marLeft w:val="0"/>
      <w:marRight w:val="0"/>
      <w:marTop w:val="0"/>
      <w:marBottom w:val="0"/>
      <w:divBdr>
        <w:top w:val="none" w:sz="0" w:space="0" w:color="auto"/>
        <w:left w:val="none" w:sz="0" w:space="0" w:color="auto"/>
        <w:bottom w:val="none" w:sz="0" w:space="0" w:color="auto"/>
        <w:right w:val="none" w:sz="0" w:space="0" w:color="auto"/>
      </w:divBdr>
    </w:div>
    <w:div w:id="1146891619">
      <w:bodyDiv w:val="1"/>
      <w:marLeft w:val="0"/>
      <w:marRight w:val="0"/>
      <w:marTop w:val="0"/>
      <w:marBottom w:val="0"/>
      <w:divBdr>
        <w:top w:val="none" w:sz="0" w:space="0" w:color="auto"/>
        <w:left w:val="none" w:sz="0" w:space="0" w:color="auto"/>
        <w:bottom w:val="none" w:sz="0" w:space="0" w:color="auto"/>
        <w:right w:val="none" w:sz="0" w:space="0" w:color="auto"/>
      </w:divBdr>
    </w:div>
    <w:div w:id="1266495371">
      <w:bodyDiv w:val="1"/>
      <w:marLeft w:val="0"/>
      <w:marRight w:val="0"/>
      <w:marTop w:val="0"/>
      <w:marBottom w:val="0"/>
      <w:divBdr>
        <w:top w:val="none" w:sz="0" w:space="0" w:color="auto"/>
        <w:left w:val="none" w:sz="0" w:space="0" w:color="auto"/>
        <w:bottom w:val="none" w:sz="0" w:space="0" w:color="auto"/>
        <w:right w:val="none" w:sz="0" w:space="0" w:color="auto"/>
      </w:divBdr>
    </w:div>
    <w:div w:id="1400521950">
      <w:bodyDiv w:val="1"/>
      <w:marLeft w:val="0"/>
      <w:marRight w:val="0"/>
      <w:marTop w:val="0"/>
      <w:marBottom w:val="0"/>
      <w:divBdr>
        <w:top w:val="none" w:sz="0" w:space="0" w:color="auto"/>
        <w:left w:val="none" w:sz="0" w:space="0" w:color="auto"/>
        <w:bottom w:val="none" w:sz="0" w:space="0" w:color="auto"/>
        <w:right w:val="none" w:sz="0" w:space="0" w:color="auto"/>
      </w:divBdr>
    </w:div>
    <w:div w:id="1438868251">
      <w:bodyDiv w:val="1"/>
      <w:marLeft w:val="0"/>
      <w:marRight w:val="0"/>
      <w:marTop w:val="0"/>
      <w:marBottom w:val="0"/>
      <w:divBdr>
        <w:top w:val="none" w:sz="0" w:space="0" w:color="auto"/>
        <w:left w:val="none" w:sz="0" w:space="0" w:color="auto"/>
        <w:bottom w:val="none" w:sz="0" w:space="0" w:color="auto"/>
        <w:right w:val="none" w:sz="0" w:space="0" w:color="auto"/>
      </w:divBdr>
    </w:div>
    <w:div w:id="1439177301">
      <w:bodyDiv w:val="1"/>
      <w:marLeft w:val="0"/>
      <w:marRight w:val="0"/>
      <w:marTop w:val="0"/>
      <w:marBottom w:val="0"/>
      <w:divBdr>
        <w:top w:val="none" w:sz="0" w:space="0" w:color="auto"/>
        <w:left w:val="none" w:sz="0" w:space="0" w:color="auto"/>
        <w:bottom w:val="none" w:sz="0" w:space="0" w:color="auto"/>
        <w:right w:val="none" w:sz="0" w:space="0" w:color="auto"/>
      </w:divBdr>
    </w:div>
    <w:div w:id="1478063784">
      <w:bodyDiv w:val="1"/>
      <w:marLeft w:val="0"/>
      <w:marRight w:val="0"/>
      <w:marTop w:val="0"/>
      <w:marBottom w:val="0"/>
      <w:divBdr>
        <w:top w:val="none" w:sz="0" w:space="0" w:color="auto"/>
        <w:left w:val="none" w:sz="0" w:space="0" w:color="auto"/>
        <w:bottom w:val="none" w:sz="0" w:space="0" w:color="auto"/>
        <w:right w:val="none" w:sz="0" w:space="0" w:color="auto"/>
      </w:divBdr>
    </w:div>
    <w:div w:id="1656763264">
      <w:bodyDiv w:val="1"/>
      <w:marLeft w:val="0"/>
      <w:marRight w:val="0"/>
      <w:marTop w:val="0"/>
      <w:marBottom w:val="0"/>
      <w:divBdr>
        <w:top w:val="none" w:sz="0" w:space="0" w:color="auto"/>
        <w:left w:val="none" w:sz="0" w:space="0" w:color="auto"/>
        <w:bottom w:val="none" w:sz="0" w:space="0" w:color="auto"/>
        <w:right w:val="none" w:sz="0" w:space="0" w:color="auto"/>
      </w:divBdr>
    </w:div>
    <w:div w:id="1670986793">
      <w:bodyDiv w:val="1"/>
      <w:marLeft w:val="0"/>
      <w:marRight w:val="0"/>
      <w:marTop w:val="0"/>
      <w:marBottom w:val="0"/>
      <w:divBdr>
        <w:top w:val="none" w:sz="0" w:space="0" w:color="auto"/>
        <w:left w:val="none" w:sz="0" w:space="0" w:color="auto"/>
        <w:bottom w:val="none" w:sz="0" w:space="0" w:color="auto"/>
        <w:right w:val="none" w:sz="0" w:space="0" w:color="auto"/>
      </w:divBdr>
    </w:div>
    <w:div w:id="1703750105">
      <w:bodyDiv w:val="1"/>
      <w:marLeft w:val="0"/>
      <w:marRight w:val="0"/>
      <w:marTop w:val="0"/>
      <w:marBottom w:val="0"/>
      <w:divBdr>
        <w:top w:val="none" w:sz="0" w:space="0" w:color="auto"/>
        <w:left w:val="none" w:sz="0" w:space="0" w:color="auto"/>
        <w:bottom w:val="none" w:sz="0" w:space="0" w:color="auto"/>
        <w:right w:val="none" w:sz="0" w:space="0" w:color="auto"/>
      </w:divBdr>
    </w:div>
    <w:div w:id="1719083125">
      <w:bodyDiv w:val="1"/>
      <w:marLeft w:val="0"/>
      <w:marRight w:val="0"/>
      <w:marTop w:val="0"/>
      <w:marBottom w:val="0"/>
      <w:divBdr>
        <w:top w:val="none" w:sz="0" w:space="0" w:color="auto"/>
        <w:left w:val="none" w:sz="0" w:space="0" w:color="auto"/>
        <w:bottom w:val="none" w:sz="0" w:space="0" w:color="auto"/>
        <w:right w:val="none" w:sz="0" w:space="0" w:color="auto"/>
      </w:divBdr>
    </w:div>
    <w:div w:id="1737898861">
      <w:bodyDiv w:val="1"/>
      <w:marLeft w:val="0"/>
      <w:marRight w:val="0"/>
      <w:marTop w:val="0"/>
      <w:marBottom w:val="0"/>
      <w:divBdr>
        <w:top w:val="none" w:sz="0" w:space="0" w:color="auto"/>
        <w:left w:val="none" w:sz="0" w:space="0" w:color="auto"/>
        <w:bottom w:val="none" w:sz="0" w:space="0" w:color="auto"/>
        <w:right w:val="none" w:sz="0" w:space="0" w:color="auto"/>
      </w:divBdr>
    </w:div>
    <w:div w:id="1745758138">
      <w:bodyDiv w:val="1"/>
      <w:marLeft w:val="0"/>
      <w:marRight w:val="0"/>
      <w:marTop w:val="0"/>
      <w:marBottom w:val="0"/>
      <w:divBdr>
        <w:top w:val="none" w:sz="0" w:space="0" w:color="auto"/>
        <w:left w:val="none" w:sz="0" w:space="0" w:color="auto"/>
        <w:bottom w:val="none" w:sz="0" w:space="0" w:color="auto"/>
        <w:right w:val="none" w:sz="0" w:space="0" w:color="auto"/>
      </w:divBdr>
    </w:div>
    <w:div w:id="1799109270">
      <w:bodyDiv w:val="1"/>
      <w:marLeft w:val="0"/>
      <w:marRight w:val="0"/>
      <w:marTop w:val="0"/>
      <w:marBottom w:val="0"/>
      <w:divBdr>
        <w:top w:val="none" w:sz="0" w:space="0" w:color="auto"/>
        <w:left w:val="none" w:sz="0" w:space="0" w:color="auto"/>
        <w:bottom w:val="none" w:sz="0" w:space="0" w:color="auto"/>
        <w:right w:val="none" w:sz="0" w:space="0" w:color="auto"/>
      </w:divBdr>
    </w:div>
    <w:div w:id="1831601768">
      <w:bodyDiv w:val="1"/>
      <w:marLeft w:val="0"/>
      <w:marRight w:val="0"/>
      <w:marTop w:val="0"/>
      <w:marBottom w:val="0"/>
      <w:divBdr>
        <w:top w:val="none" w:sz="0" w:space="0" w:color="auto"/>
        <w:left w:val="none" w:sz="0" w:space="0" w:color="auto"/>
        <w:bottom w:val="none" w:sz="0" w:space="0" w:color="auto"/>
        <w:right w:val="none" w:sz="0" w:space="0" w:color="auto"/>
      </w:divBdr>
    </w:div>
    <w:div w:id="1984309277">
      <w:bodyDiv w:val="1"/>
      <w:marLeft w:val="0"/>
      <w:marRight w:val="0"/>
      <w:marTop w:val="0"/>
      <w:marBottom w:val="0"/>
      <w:divBdr>
        <w:top w:val="none" w:sz="0" w:space="0" w:color="auto"/>
        <w:left w:val="none" w:sz="0" w:space="0" w:color="auto"/>
        <w:bottom w:val="none" w:sz="0" w:space="0" w:color="auto"/>
        <w:right w:val="none" w:sz="0" w:space="0" w:color="auto"/>
      </w:divBdr>
    </w:div>
    <w:div w:id="201826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dingeconomics.com/commodity/ti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6290</TotalTime>
  <Pages>3</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PHAM DUC TRONG</cp:lastModifiedBy>
  <cp:revision>34</cp:revision>
  <dcterms:created xsi:type="dcterms:W3CDTF">2023-10-23T04:33:00Z</dcterms:created>
  <dcterms:modified xsi:type="dcterms:W3CDTF">2024-10-17T02:11:00Z</dcterms:modified>
</cp:coreProperties>
</file>